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588" w:lineRule="exact"/>
        <w:textAlignment w:val="baseline"/>
        <w:rPr>
          <w:rFonts w:ascii="宋体" w:hAnsi="宋体" w:eastAsia="方正仿宋简体" w:cs="方正仿宋简体"/>
          <w:color w:val="00000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8" w:lineRule="exact"/>
        <w:textAlignment w:val="baseline"/>
        <w:rPr>
          <w:lang w:eastAsia="zh-CN"/>
        </w:rPr>
      </w:pPr>
    </w:p>
    <w:p>
      <w:pPr>
        <w:keepNext w:val="0"/>
        <w:keepLines w:val="0"/>
        <w:pageBreakBefore w:val="0"/>
        <w:widowControl/>
        <w:kinsoku w:val="0"/>
        <w:wordWrap/>
        <w:overflowPunct/>
        <w:topLinePunct w:val="0"/>
        <w:autoSpaceDE w:val="0"/>
        <w:autoSpaceDN w:val="0"/>
        <w:bidi w:val="0"/>
        <w:adjustRightInd w:val="0"/>
        <w:snapToGrid w:val="0"/>
        <w:spacing w:line="588" w:lineRule="exact"/>
        <w:jc w:val="center"/>
        <w:textAlignment w:val="baseline"/>
        <w:outlineLvl w:val="0"/>
        <w:rPr>
          <w:rFonts w:hint="eastAsia" w:ascii="方正小标宋简体" w:hAnsi="方正小标宋简体" w:eastAsia="方正小标宋简体" w:cs="方正小标宋简体"/>
          <w:color w:val="auto"/>
          <w:sz w:val="44"/>
          <w:szCs w:val="44"/>
          <w:lang w:eastAsia="zh-CN"/>
        </w:rPr>
      </w:pPr>
      <w:r>
        <w:rPr>
          <w:rFonts w:hint="default" w:ascii="方正小标宋简体" w:hAnsi="方正小标宋简体" w:eastAsia="方正小标宋简体" w:cs="方正小标宋简体"/>
          <w:color w:val="auto"/>
          <w:sz w:val="44"/>
          <w:szCs w:val="44"/>
          <w:lang w:eastAsia="zh-CN"/>
        </w:rPr>
        <w:t>关于开展“中银杯”</w:t>
      </w:r>
      <w:r>
        <w:rPr>
          <w:rFonts w:hint="eastAsia" w:ascii="方正小标宋简体" w:hAnsi="方正小标宋简体" w:eastAsia="方正小标宋简体" w:cs="方正小标宋简体"/>
          <w:color w:val="auto"/>
          <w:sz w:val="44"/>
          <w:szCs w:val="44"/>
          <w:lang w:eastAsia="zh-CN"/>
        </w:rPr>
        <w:t>第十一届</w:t>
      </w:r>
      <w:r>
        <w:rPr>
          <w:rFonts w:hint="default" w:ascii="方正小标宋简体" w:hAnsi="方正小标宋简体" w:eastAsia="方正小标宋简体" w:cs="方正小标宋简体"/>
          <w:color w:val="auto"/>
          <w:sz w:val="44"/>
          <w:szCs w:val="44"/>
          <w:lang w:eastAsia="zh-CN"/>
        </w:rPr>
        <w:t>天津</w:t>
      </w:r>
      <w:r>
        <w:rPr>
          <w:rFonts w:hint="eastAsia" w:ascii="方正小标宋简体" w:hAnsi="方正小标宋简体" w:eastAsia="方正小标宋简体" w:cs="方正小标宋简体"/>
          <w:color w:val="auto"/>
          <w:sz w:val="44"/>
          <w:szCs w:val="44"/>
          <w:lang w:eastAsia="zh-CN"/>
        </w:rPr>
        <w:t>青年</w:t>
      </w:r>
    </w:p>
    <w:p>
      <w:pPr>
        <w:keepNext w:val="0"/>
        <w:keepLines w:val="0"/>
        <w:pageBreakBefore w:val="0"/>
        <w:widowControl/>
        <w:kinsoku w:val="0"/>
        <w:wordWrap/>
        <w:overflowPunct/>
        <w:topLinePunct w:val="0"/>
        <w:autoSpaceDE w:val="0"/>
        <w:autoSpaceDN w:val="0"/>
        <w:bidi w:val="0"/>
        <w:adjustRightInd w:val="0"/>
        <w:snapToGrid w:val="0"/>
        <w:spacing w:line="588" w:lineRule="exact"/>
        <w:jc w:val="center"/>
        <w:textAlignment w:val="baseline"/>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创青春大赛的</w:t>
      </w:r>
      <w:r>
        <w:rPr>
          <w:rFonts w:hint="eastAsia" w:ascii="方正小标宋简体" w:hAnsi="方正小标宋简体" w:eastAsia="方正小标宋简体" w:cs="方正小标宋简体"/>
          <w:color w:val="auto"/>
          <w:sz w:val="44"/>
          <w:szCs w:val="44"/>
          <w:lang w:val="en-US" w:eastAsia="zh-CN"/>
        </w:rPr>
        <w:t>预</w:t>
      </w:r>
      <w:r>
        <w:rPr>
          <w:rFonts w:hint="eastAsia" w:ascii="方正小标宋简体" w:hAnsi="方正小标宋简体" w:eastAsia="方正小标宋简体" w:cs="方正小标宋简体"/>
          <w:color w:val="auto"/>
          <w:sz w:val="44"/>
          <w:szCs w:val="44"/>
          <w:lang w:eastAsia="zh-CN"/>
        </w:rPr>
        <w:t>通知</w:t>
      </w:r>
    </w:p>
    <w:p>
      <w:pPr>
        <w:pStyle w:val="2"/>
        <w:rPr>
          <w:rFonts w:hint="default"/>
          <w:color w:val="auto"/>
          <w:lang w:eastAsia="zh-CN"/>
        </w:rPr>
      </w:pPr>
    </w:p>
    <w:p>
      <w:pPr>
        <w:rPr>
          <w:rFonts w:hint="eastAsia" w:ascii="宋体" w:hAnsi="宋体" w:eastAsia="方正仿宋简体" w:cs="方正仿宋简体"/>
          <w:snapToGrid w:val="0"/>
          <w:color w:val="auto"/>
          <w:sz w:val="32"/>
          <w:szCs w:val="32"/>
          <w:lang w:val="en-US" w:eastAsia="zh-CN" w:bidi="ar-SA"/>
        </w:rPr>
      </w:pPr>
      <w:r>
        <w:rPr>
          <w:rFonts w:hint="eastAsia" w:ascii="宋体" w:hAnsi="宋体" w:eastAsia="方正仿宋简体" w:cs="方正仿宋简体"/>
          <w:snapToGrid w:val="0"/>
          <w:color w:val="auto"/>
          <w:sz w:val="32"/>
          <w:szCs w:val="32"/>
          <w:lang w:val="en-US" w:eastAsia="zh-CN" w:bidi="ar-SA"/>
        </w:rPr>
        <w:t>各有关单位、各区、局（集团公司）、大专院校团委，金融团工委、驻津央企团工委、两新组织团工委：</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为深入贯彻</w:t>
      </w:r>
      <w:bookmarkStart w:id="0" w:name="_GoBack"/>
      <w:bookmarkEnd w:id="0"/>
      <w:r>
        <w:rPr>
          <w:rFonts w:hint="eastAsia" w:ascii="宋体" w:hAnsi="宋体" w:eastAsia="方正仿宋简体" w:cs="方正仿宋简体"/>
          <w:color w:val="auto"/>
          <w:sz w:val="32"/>
          <w:szCs w:val="32"/>
          <w:lang w:eastAsia="zh-CN"/>
        </w:rPr>
        <w:t>习近平新时代中国特色社会主义思想和党的二十大精神，落实习近平总书记在同团中央新一届领导班子成员集体谈话时的重要讲话精神，践行习近平总书记视察天津重要讲话精神和“四个善作善成”重要要求，按照市委“十项行动”工作部署和</w:t>
      </w:r>
      <w:r>
        <w:rPr>
          <w:rFonts w:hint="default" w:ascii="宋体" w:hAnsi="宋体" w:eastAsia="方正仿宋简体" w:cs="方正仿宋简体"/>
          <w:color w:val="auto"/>
          <w:sz w:val="32"/>
          <w:szCs w:val="32"/>
          <w:lang w:eastAsia="zh-CN"/>
        </w:rPr>
        <w:t>团市委</w:t>
      </w:r>
      <w:r>
        <w:rPr>
          <w:rFonts w:hint="eastAsia" w:ascii="宋体" w:hAnsi="宋体" w:eastAsia="方正仿宋简体" w:cs="方正仿宋简体"/>
          <w:color w:val="auto"/>
          <w:sz w:val="32"/>
          <w:szCs w:val="32"/>
          <w:lang w:eastAsia="zh-CN"/>
        </w:rPr>
        <w:t>创青春大赛的工作安排，促进青年弘扬创业精神、培养创业意识、提升创业能力，动员广大青年为中国式现代化挺膺担当，团市委</w:t>
      </w:r>
      <w:r>
        <w:rPr>
          <w:rFonts w:hint="eastAsia" w:ascii="宋体" w:hAnsi="宋体" w:eastAsia="方正仿宋简体" w:cs="方正仿宋简体"/>
          <w:color w:val="auto"/>
          <w:sz w:val="32"/>
          <w:szCs w:val="32"/>
          <w:lang w:val="en-US" w:eastAsia="zh-CN"/>
        </w:rPr>
        <w:t>决定</w:t>
      </w:r>
      <w:r>
        <w:rPr>
          <w:rFonts w:hint="eastAsia" w:ascii="宋体" w:hAnsi="宋体" w:eastAsia="方正仿宋简体" w:cs="方正仿宋简体"/>
          <w:color w:val="auto"/>
          <w:sz w:val="32"/>
          <w:szCs w:val="32"/>
          <w:lang w:eastAsia="zh-CN"/>
        </w:rPr>
        <w:t>举办</w:t>
      </w:r>
      <w:r>
        <w:rPr>
          <w:rFonts w:hint="default" w:ascii="宋体" w:hAnsi="宋体" w:eastAsia="方正仿宋简体" w:cs="方正仿宋简体"/>
          <w:color w:val="auto"/>
          <w:sz w:val="32"/>
          <w:szCs w:val="32"/>
          <w:lang w:eastAsia="zh-CN"/>
        </w:rPr>
        <w:t>“中银杯”</w:t>
      </w:r>
      <w:r>
        <w:rPr>
          <w:rFonts w:hint="eastAsia" w:ascii="宋体" w:hAnsi="宋体" w:eastAsia="方正仿宋简体" w:cs="方正仿宋简体"/>
          <w:color w:val="auto"/>
          <w:sz w:val="32"/>
          <w:szCs w:val="32"/>
          <w:lang w:eastAsia="zh-CN"/>
        </w:rPr>
        <w:t>第十一届</w:t>
      </w:r>
      <w:r>
        <w:rPr>
          <w:rFonts w:hint="default" w:ascii="宋体" w:hAnsi="宋体" w:eastAsia="方正仿宋简体" w:cs="方正仿宋简体"/>
          <w:color w:val="auto"/>
          <w:sz w:val="32"/>
          <w:szCs w:val="32"/>
          <w:lang w:eastAsia="zh-CN"/>
        </w:rPr>
        <w:t>天津</w:t>
      </w:r>
      <w:r>
        <w:rPr>
          <w:rFonts w:hint="eastAsia" w:ascii="宋体" w:hAnsi="宋体" w:eastAsia="方正仿宋简体" w:cs="方正仿宋简体"/>
          <w:color w:val="auto"/>
          <w:sz w:val="32"/>
          <w:szCs w:val="32"/>
          <w:lang w:eastAsia="zh-CN"/>
        </w:rPr>
        <w:t>青年创青春大赛。</w:t>
      </w:r>
      <w:r>
        <w:rPr>
          <w:rFonts w:hint="eastAsia" w:ascii="宋体" w:hAnsi="宋体" w:eastAsia="方正仿宋简体" w:cs="方正仿宋简体"/>
          <w:color w:val="auto"/>
          <w:sz w:val="32"/>
          <w:szCs w:val="32"/>
          <w:lang w:val="en-US" w:eastAsia="zh-CN"/>
        </w:rPr>
        <w:t>现将有关事宜通知</w:t>
      </w:r>
      <w:r>
        <w:rPr>
          <w:rFonts w:hint="eastAsia" w:ascii="宋体" w:hAnsi="宋体" w:eastAsia="方正仿宋简体" w:cs="方正仿宋简体"/>
          <w:color w:val="auto"/>
          <w:sz w:val="32"/>
          <w:szCs w:val="32"/>
          <w:lang w:eastAsia="zh-CN"/>
        </w:rPr>
        <w:t>如下。</w:t>
      </w:r>
    </w:p>
    <w:p>
      <w:pPr>
        <w:spacing w:line="588" w:lineRule="exact"/>
        <w:ind w:firstLine="640" w:firstLineChars="200"/>
        <w:jc w:val="both"/>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一、大赛目的</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搭建支持青年创新创业的展示交流、导师辅导、投融资对接、项目孵化等服务平台，促进广大青年弘扬创业精神、培养创业意识、提升创业能力、促进创业带动就业，动员引领广大团员青年在强国建设、民族复兴伟业中挺膺担当，为推动经济高质量发展，实施创新驱动、乡村振兴等重大战略，促进经济持续健康发展和社会大局稳定作贡献。</w:t>
      </w:r>
    </w:p>
    <w:p>
      <w:pPr>
        <w:spacing w:line="588" w:lineRule="exact"/>
        <w:ind w:firstLine="640" w:firstLineChars="200"/>
        <w:jc w:val="both"/>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二、大赛主题</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青春为中国式现代化挺膺担当</w:t>
      </w:r>
    </w:p>
    <w:p>
      <w:pPr>
        <w:spacing w:line="588" w:lineRule="exact"/>
        <w:ind w:firstLine="640" w:firstLineChars="200"/>
        <w:jc w:val="both"/>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三、大赛时间</w:t>
      </w:r>
    </w:p>
    <w:p>
      <w:pPr>
        <w:pStyle w:val="2"/>
        <w:spacing w:line="588" w:lineRule="exact"/>
        <w:ind w:firstLine="640"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2024年7月—8月</w:t>
      </w:r>
    </w:p>
    <w:p>
      <w:pPr>
        <w:spacing w:line="588" w:lineRule="exact"/>
        <w:ind w:firstLine="640" w:firstLineChars="200"/>
        <w:jc w:val="both"/>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四、组织单位</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方正楷体简体" w:hAnsi="方正楷体简体" w:eastAsia="方正楷体简体" w:cs="方正楷体简体"/>
          <w:color w:val="auto"/>
          <w:sz w:val="32"/>
          <w:szCs w:val="32"/>
          <w:lang w:eastAsia="zh-CN"/>
        </w:rPr>
        <w:t>（一）主办单位：</w:t>
      </w:r>
      <w:r>
        <w:rPr>
          <w:rFonts w:hint="eastAsia" w:ascii="宋体" w:hAnsi="宋体" w:eastAsia="方正仿宋简体" w:cs="方正仿宋简体"/>
          <w:color w:val="auto"/>
          <w:sz w:val="32"/>
          <w:szCs w:val="32"/>
          <w:lang w:eastAsia="zh-CN"/>
        </w:rPr>
        <w:t>共青团天津市委员会、</w:t>
      </w:r>
      <w:r>
        <w:rPr>
          <w:rFonts w:hint="eastAsia" w:ascii="宋体" w:hAnsi="宋体" w:eastAsia="方正仿宋简体" w:cs="方正仿宋简体"/>
          <w:color w:val="auto"/>
          <w:sz w:val="32"/>
          <w:szCs w:val="32"/>
          <w:lang w:eastAsia="zh-CN"/>
        </w:rPr>
        <w:t>天津滨海高新区管委会</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方正楷体简体" w:hAnsi="方正楷体简体" w:eastAsia="方正楷体简体" w:cs="方正楷体简体"/>
          <w:color w:val="auto"/>
          <w:sz w:val="32"/>
          <w:szCs w:val="32"/>
          <w:lang w:eastAsia="zh-CN"/>
        </w:rPr>
        <w:t>（二）承办单位：</w:t>
      </w:r>
      <w:r>
        <w:rPr>
          <w:rFonts w:hint="eastAsia" w:ascii="宋体" w:hAnsi="宋体" w:eastAsia="方正仿宋简体" w:cs="方正仿宋简体"/>
          <w:color w:val="auto"/>
          <w:sz w:val="32"/>
          <w:szCs w:val="32"/>
          <w:lang w:eastAsia="zh-CN"/>
        </w:rPr>
        <w:t>滨海新区团委、天津市青年创业就业基金会、天津滨海高新区群团工作部、天元未来发展服务中心</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方正楷体简体" w:hAnsi="方正楷体简体" w:eastAsia="方正楷体简体" w:cs="方正楷体简体"/>
          <w:color w:val="auto"/>
          <w:sz w:val="32"/>
          <w:szCs w:val="32"/>
          <w:lang w:eastAsia="zh-CN"/>
        </w:rPr>
        <w:t>（三）支持单位：</w:t>
      </w:r>
      <w:r>
        <w:rPr>
          <w:rFonts w:hint="eastAsia" w:ascii="宋体" w:hAnsi="宋体" w:eastAsia="方正仿宋简体" w:cs="方正仿宋简体"/>
          <w:color w:val="auto"/>
          <w:sz w:val="32"/>
          <w:szCs w:val="32"/>
          <w:lang w:eastAsia="zh-CN"/>
        </w:rPr>
        <w:t>中国银行天津市分行</w:t>
      </w:r>
    </w:p>
    <w:p>
      <w:pPr>
        <w:spacing w:line="588" w:lineRule="exact"/>
        <w:ind w:firstLine="640" w:firstLineChars="200"/>
        <w:jc w:val="both"/>
        <w:rPr>
          <w:rFonts w:ascii="黑体" w:hAnsi="黑体" w:eastAsia="黑体" w:cs="黑体"/>
          <w:color w:val="auto"/>
          <w:sz w:val="32"/>
          <w:szCs w:val="32"/>
          <w:lang w:eastAsia="zh-CN"/>
        </w:rPr>
      </w:pPr>
      <w:r>
        <w:rPr>
          <w:rFonts w:hint="default" w:ascii="黑体" w:hAnsi="黑体" w:eastAsia="黑体" w:cs="黑体"/>
          <w:color w:val="auto"/>
          <w:sz w:val="32"/>
          <w:szCs w:val="32"/>
          <w:lang w:eastAsia="zh-CN"/>
        </w:rPr>
        <w:t>五</w:t>
      </w:r>
      <w:r>
        <w:rPr>
          <w:rFonts w:hint="eastAsia" w:ascii="黑体" w:hAnsi="黑体" w:eastAsia="黑体" w:cs="黑体"/>
          <w:color w:val="auto"/>
          <w:sz w:val="32"/>
          <w:szCs w:val="32"/>
          <w:lang w:eastAsia="zh-CN"/>
        </w:rPr>
        <w:t>、大赛安排</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本届大赛分为科技创新、乡村振兴、数字经济、社会企业四个专项赛。</w:t>
      </w:r>
    </w:p>
    <w:p>
      <w:pPr>
        <w:pStyle w:val="2"/>
        <w:keepNext w:val="0"/>
        <w:keepLines w:val="0"/>
        <w:pageBreakBefore w:val="0"/>
        <w:widowControl w:val="0"/>
        <w:kinsoku w:val="0"/>
        <w:wordWrap/>
        <w:overflowPunct/>
        <w:topLinePunct w:val="0"/>
        <w:autoSpaceDE w:val="0"/>
        <w:autoSpaceDN w:val="0"/>
        <w:bidi w:val="0"/>
        <w:adjustRightInd w:val="0"/>
        <w:snapToGrid w:val="0"/>
        <w:spacing w:line="588" w:lineRule="exact"/>
        <w:ind w:firstLine="640" w:firstLineChars="200"/>
        <w:jc w:val="both"/>
        <w:textAlignment w:val="baseline"/>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（一）科技创新专项赛</w:t>
      </w:r>
    </w:p>
    <w:p>
      <w:pPr>
        <w:pStyle w:val="2"/>
        <w:keepNext w:val="0"/>
        <w:keepLines w:val="0"/>
        <w:pageBreakBefore w:val="0"/>
        <w:widowControl w:val="0"/>
        <w:kinsoku w:val="0"/>
        <w:wordWrap/>
        <w:overflowPunct/>
        <w:topLinePunct w:val="0"/>
        <w:autoSpaceDE w:val="0"/>
        <w:autoSpaceDN w:val="0"/>
        <w:bidi w:val="0"/>
        <w:adjustRightInd w:val="0"/>
        <w:snapToGrid w:val="0"/>
        <w:spacing w:line="588" w:lineRule="exact"/>
        <w:ind w:firstLine="640" w:firstLineChars="200"/>
        <w:jc w:val="both"/>
        <w:textAlignment w:val="baseline"/>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重点关注“十四五”规划明确鼓励发展的重点方向，尤其是人工智能、量子信息、集成电路、生命健康、脑科学、生物育种、空天科技、深地深海等领域具有前瞻性、战略性的项目。</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（二）乡村振兴专项赛</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重点关注粮食增产提质、种业振兴、先进种植养殖技术、农产品加工及流通、农业社会化服务、农村电商、乡村休闲旅游等领域相关产业，尤其是在巩固拓展脱贫攻坚成果、助力乡村振兴等方面模式成熟的项目。</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（三）数字经济专项赛</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重点关注运用互联网、大数据、云计算、区块链技术、元宇宙等推动数字经济和实体经济融合、运用数字经济手段改造发展传统行业的项目。</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（四）社会企业专项赛</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重点关注以协助解决社会问题、改善社会治理、服务特定群体或社区利益为宗旨和首要目标，以创新商业模式、市场化运作为主要手段，所得部分盈利按照其社会目标再投入自身业务、所在社区或公益事业，且社会目标持续稳定的项目。</w:t>
      </w:r>
    </w:p>
    <w:p>
      <w:pPr>
        <w:spacing w:line="588" w:lineRule="exact"/>
        <w:ind w:firstLine="640" w:firstLineChars="200"/>
        <w:jc w:val="both"/>
        <w:rPr>
          <w:rFonts w:ascii="黑体" w:hAnsi="黑体" w:eastAsia="黑体" w:cs="黑体"/>
          <w:color w:val="auto"/>
          <w:sz w:val="32"/>
          <w:szCs w:val="32"/>
          <w:lang w:eastAsia="zh-CN"/>
        </w:rPr>
      </w:pPr>
      <w:r>
        <w:rPr>
          <w:rFonts w:hint="default" w:ascii="黑体" w:hAnsi="黑体" w:eastAsia="黑体" w:cs="黑体"/>
          <w:color w:val="auto"/>
          <w:sz w:val="32"/>
          <w:szCs w:val="32"/>
          <w:lang w:eastAsia="zh-CN"/>
        </w:rPr>
        <w:t>六</w:t>
      </w:r>
      <w:r>
        <w:rPr>
          <w:rFonts w:hint="eastAsia" w:ascii="黑体" w:hAnsi="黑体" w:eastAsia="黑体" w:cs="黑体"/>
          <w:color w:val="auto"/>
          <w:sz w:val="32"/>
          <w:szCs w:val="32"/>
          <w:lang w:eastAsia="zh-CN"/>
        </w:rPr>
        <w:t>、大赛规则</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（一）组别设置</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根据参赛项目所处的创业阶段及企业创办年限（以在市场监督管理部门登记注册时间为准）不同，分别设创新组、初创组、成长组。创办年限划分以</w:t>
      </w:r>
      <w:r>
        <w:rPr>
          <w:rFonts w:hint="eastAsia" w:ascii="Times New Roman" w:hAnsi="Times New Roman" w:eastAsia="方正仿宋简体" w:cs="Times New Roman"/>
          <w:color w:val="auto"/>
          <w:sz w:val="32"/>
          <w:szCs w:val="32"/>
          <w:lang w:eastAsia="zh-CN"/>
        </w:rPr>
        <w:t>2024年5月31日</w:t>
      </w:r>
      <w:r>
        <w:rPr>
          <w:rFonts w:hint="eastAsia" w:ascii="宋体" w:hAnsi="宋体" w:eastAsia="方正仿宋简体" w:cs="方正仿宋简体"/>
          <w:color w:val="auto"/>
          <w:sz w:val="32"/>
          <w:szCs w:val="32"/>
          <w:lang w:eastAsia="zh-CN"/>
        </w:rPr>
        <w:t>为基准。</w:t>
      </w:r>
    </w:p>
    <w:p>
      <w:pPr>
        <w:pStyle w:val="2"/>
        <w:widowControl w:val="0"/>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1.创新组指</w:t>
      </w:r>
      <w:r>
        <w:rPr>
          <w:rFonts w:hint="eastAsia" w:ascii="Times New Roman" w:hAnsi="Times New Roman" w:eastAsia="方正仿宋简体" w:cs="Times New Roman"/>
          <w:color w:val="auto"/>
          <w:sz w:val="32"/>
          <w:szCs w:val="32"/>
          <w:lang w:eastAsia="zh-CN"/>
        </w:rPr>
        <w:t>2024年5月31日</w:t>
      </w:r>
      <w:r>
        <w:rPr>
          <w:rFonts w:hint="eastAsia" w:ascii="宋体" w:hAnsi="宋体" w:eastAsia="方正仿宋简体" w:cs="方正仿宋简体"/>
          <w:color w:val="auto"/>
          <w:sz w:val="32"/>
          <w:szCs w:val="32"/>
          <w:lang w:eastAsia="zh-CN"/>
        </w:rPr>
        <w:t>（含）前未进行企业登记注册，尚处于商业计划书阶段的创业项目。</w:t>
      </w:r>
    </w:p>
    <w:p>
      <w:pPr>
        <w:pStyle w:val="2"/>
        <w:widowControl w:val="0"/>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2.初创组指企业登记注册时间不超过</w:t>
      </w:r>
      <w:r>
        <w:rPr>
          <w:rFonts w:hint="eastAsia" w:ascii="Times New Roman" w:hAnsi="Times New Roman" w:eastAsia="方正仿宋简体" w:cs="Times New Roman"/>
          <w:color w:val="auto"/>
          <w:sz w:val="32"/>
          <w:szCs w:val="32"/>
          <w:lang w:eastAsia="zh-CN"/>
        </w:rPr>
        <w:t>2</w:t>
      </w:r>
      <w:r>
        <w:rPr>
          <w:rFonts w:hint="eastAsia" w:ascii="宋体" w:hAnsi="宋体" w:eastAsia="方正仿宋简体" w:cs="方正仿宋简体"/>
          <w:color w:val="auto"/>
          <w:sz w:val="32"/>
          <w:szCs w:val="32"/>
          <w:lang w:eastAsia="zh-CN"/>
        </w:rPr>
        <w:t>年〔</w:t>
      </w:r>
      <w:r>
        <w:rPr>
          <w:rFonts w:hint="eastAsia" w:ascii="Times New Roman" w:hAnsi="Times New Roman" w:eastAsia="方正仿宋简体" w:cs="Times New Roman"/>
          <w:color w:val="auto"/>
          <w:sz w:val="32"/>
          <w:szCs w:val="32"/>
          <w:lang w:eastAsia="zh-CN"/>
        </w:rPr>
        <w:t>2022年6月1日</w:t>
      </w:r>
      <w:r>
        <w:rPr>
          <w:rFonts w:hint="eastAsia" w:ascii="宋体" w:hAnsi="宋体" w:eastAsia="方正仿宋简体" w:cs="方正仿宋简体"/>
          <w:color w:val="auto"/>
          <w:sz w:val="32"/>
          <w:szCs w:val="32"/>
          <w:lang w:eastAsia="zh-CN"/>
        </w:rPr>
        <w:t>（含）以后登记注册〕的创业项目。</w:t>
      </w:r>
    </w:p>
    <w:p>
      <w:pPr>
        <w:pStyle w:val="2"/>
        <w:widowControl w:val="0"/>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3.成长组指企业登记注册时间在</w:t>
      </w:r>
      <w:r>
        <w:rPr>
          <w:rFonts w:hint="eastAsia" w:ascii="Times New Roman" w:hAnsi="Times New Roman" w:eastAsia="方正仿宋简体" w:cs="Times New Roman"/>
          <w:color w:val="auto"/>
          <w:sz w:val="32"/>
          <w:szCs w:val="32"/>
          <w:lang w:eastAsia="zh-CN"/>
        </w:rPr>
        <w:t>2</w:t>
      </w:r>
      <w:r>
        <w:rPr>
          <w:rFonts w:hint="eastAsia" w:ascii="宋体" w:hAnsi="宋体" w:eastAsia="方正仿宋简体" w:cs="方正仿宋简体"/>
          <w:color w:val="auto"/>
          <w:sz w:val="32"/>
          <w:szCs w:val="32"/>
          <w:lang w:eastAsia="zh-CN"/>
        </w:rPr>
        <w:t>至</w:t>
      </w:r>
      <w:r>
        <w:rPr>
          <w:rFonts w:hint="eastAsia" w:ascii="Times New Roman" w:hAnsi="Times New Roman" w:eastAsia="方正仿宋简体" w:cs="Times New Roman"/>
          <w:color w:val="auto"/>
          <w:sz w:val="32"/>
          <w:szCs w:val="32"/>
          <w:lang w:eastAsia="zh-CN"/>
        </w:rPr>
        <w:t>5</w:t>
      </w:r>
      <w:r>
        <w:rPr>
          <w:rFonts w:hint="eastAsia" w:ascii="宋体" w:hAnsi="宋体" w:eastAsia="方正仿宋简体" w:cs="方正仿宋简体"/>
          <w:color w:val="auto"/>
          <w:sz w:val="32"/>
          <w:szCs w:val="32"/>
          <w:lang w:eastAsia="zh-CN"/>
        </w:rPr>
        <w:t>年之间〔</w:t>
      </w:r>
      <w:r>
        <w:rPr>
          <w:rFonts w:hint="eastAsia" w:ascii="Times New Roman" w:hAnsi="Times New Roman" w:eastAsia="方正仿宋简体" w:cs="Times New Roman"/>
          <w:color w:val="auto"/>
          <w:sz w:val="32"/>
          <w:szCs w:val="32"/>
          <w:lang w:eastAsia="zh-CN"/>
        </w:rPr>
        <w:t>2019年6月1日</w:t>
      </w:r>
      <w:r>
        <w:rPr>
          <w:rFonts w:hint="eastAsia" w:ascii="宋体" w:hAnsi="宋体" w:eastAsia="方正仿宋简体" w:cs="方正仿宋简体"/>
          <w:color w:val="auto"/>
          <w:sz w:val="32"/>
          <w:szCs w:val="32"/>
          <w:lang w:eastAsia="zh-CN"/>
        </w:rPr>
        <w:t>（含）至</w:t>
      </w:r>
      <w:r>
        <w:rPr>
          <w:rFonts w:hint="eastAsia" w:ascii="Times New Roman" w:hAnsi="Times New Roman" w:eastAsia="方正仿宋简体" w:cs="Times New Roman"/>
          <w:color w:val="auto"/>
          <w:sz w:val="32"/>
          <w:szCs w:val="32"/>
          <w:lang w:eastAsia="zh-CN"/>
        </w:rPr>
        <w:t>2022年5月31日</w:t>
      </w:r>
      <w:r>
        <w:rPr>
          <w:rFonts w:hint="eastAsia" w:ascii="宋体" w:hAnsi="宋体" w:eastAsia="方正仿宋简体" w:cs="方正仿宋简体"/>
          <w:color w:val="auto"/>
          <w:sz w:val="32"/>
          <w:szCs w:val="32"/>
          <w:lang w:eastAsia="zh-CN"/>
        </w:rPr>
        <w:t>（含）期间登记注册〕的创业项目。</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（二）参赛人员</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1.年龄40周岁（含）以下〔</w:t>
      </w:r>
      <w:r>
        <w:rPr>
          <w:rFonts w:hint="eastAsia" w:ascii="Times New Roman" w:hAnsi="Times New Roman" w:eastAsia="方正仿宋简体" w:cs="Times New Roman"/>
          <w:color w:val="auto"/>
          <w:sz w:val="32"/>
          <w:szCs w:val="32"/>
          <w:lang w:eastAsia="zh-CN"/>
        </w:rPr>
        <w:t>1984年1月1日</w:t>
      </w:r>
      <w:r>
        <w:rPr>
          <w:rFonts w:hint="eastAsia" w:ascii="宋体" w:hAnsi="宋体" w:eastAsia="方正仿宋简体" w:cs="方正仿宋简体"/>
          <w:color w:val="auto"/>
          <w:sz w:val="32"/>
          <w:szCs w:val="32"/>
          <w:lang w:eastAsia="zh-CN"/>
        </w:rPr>
        <w:t>（含）以后出生〕的中国公民。</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2.团队参赛项目，总人数不多于</w:t>
      </w:r>
      <w:r>
        <w:rPr>
          <w:rFonts w:hint="eastAsia" w:ascii="Times New Roman" w:hAnsi="Times New Roman" w:eastAsia="方正仿宋简体" w:cs="Times New Roman"/>
          <w:color w:val="auto"/>
          <w:sz w:val="32"/>
          <w:szCs w:val="32"/>
          <w:lang w:eastAsia="zh-CN"/>
        </w:rPr>
        <w:t>5</w:t>
      </w:r>
      <w:r>
        <w:rPr>
          <w:rFonts w:hint="eastAsia" w:ascii="宋体" w:hAnsi="宋体" w:eastAsia="方正仿宋简体" w:cs="方正仿宋简体"/>
          <w:color w:val="auto"/>
          <w:sz w:val="32"/>
          <w:szCs w:val="32"/>
          <w:lang w:eastAsia="zh-CN"/>
        </w:rPr>
        <w:t>人。</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（三）项目申报</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1.已在市场监督管理部门登记注册企业的参赛项目，须提交营业执照等相关文件，项目成长过程或生产流程相关介绍，项目发展构想及阶段性成果等资料。涉及国家限制行业和领域的，须有相关资质证明。第一申报人须为所登记主体法定代表人，且持有该企业股份（个体工商户第一申报人应为经营者，个人独资企业第一申报人应为投资人，合伙企业第一申报人应为执行事务合伙人）。</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2.未在市场监督管理部门登记注册的参赛项目，须提交商业计划书，对市场调研、创业构想、项目发展等有详细介绍；可同时出具专利、奖项、技术等级等省级以上行业主管部门出具的证书或证明。第一申报人须为产品开发、项目设计主要负责人。</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（四）参赛项目</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1.符合国家法律法规和国家产业政策。</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2.不得侵犯他人知识产权。</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3.具有良好的经济效益、社会效益，经营规范，社会信誉良好。</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4.具有较大投资价值的独特产品、技术或商业模式。</w:t>
      </w:r>
    </w:p>
    <w:p>
      <w:pPr>
        <w:spacing w:line="588" w:lineRule="exact"/>
        <w:ind w:firstLine="640" w:firstLineChars="200"/>
        <w:jc w:val="both"/>
        <w:rPr>
          <w:rFonts w:ascii="黑体" w:hAnsi="黑体" w:eastAsia="黑体" w:cs="黑体"/>
          <w:color w:val="auto"/>
          <w:sz w:val="32"/>
          <w:szCs w:val="32"/>
          <w:lang w:eastAsia="zh-CN"/>
        </w:rPr>
      </w:pPr>
      <w:r>
        <w:rPr>
          <w:rFonts w:hint="default" w:ascii="黑体" w:hAnsi="黑体" w:eastAsia="黑体" w:cs="黑体"/>
          <w:color w:val="auto"/>
          <w:sz w:val="32"/>
          <w:szCs w:val="32"/>
          <w:lang w:eastAsia="zh-CN"/>
        </w:rPr>
        <w:t>七</w:t>
      </w:r>
      <w:r>
        <w:rPr>
          <w:rFonts w:hint="eastAsia" w:ascii="黑体" w:hAnsi="黑体" w:eastAsia="黑体" w:cs="黑体"/>
          <w:color w:val="auto"/>
          <w:sz w:val="32"/>
          <w:szCs w:val="32"/>
          <w:lang w:eastAsia="zh-CN"/>
        </w:rPr>
        <w:t>、赛程安排</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（一）宣传报名阶段：</w:t>
      </w:r>
      <w:r>
        <w:rPr>
          <w:rFonts w:hint="eastAsia" w:ascii="Times New Roman" w:hAnsi="Times New Roman" w:eastAsia="方正仿宋简体" w:cs="Times New Roman"/>
          <w:color w:val="auto"/>
          <w:sz w:val="32"/>
          <w:szCs w:val="32"/>
          <w:lang w:eastAsia="zh-CN"/>
        </w:rPr>
        <w:t>（7月5日至7月16日）</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全面启动大赛报名和宣传。采取社会化动员和组织发动形式，参赛者须通过登录</w:t>
      </w:r>
      <w:r>
        <w:rPr>
          <w:rFonts w:hint="default" w:ascii="宋体" w:hAnsi="宋体" w:eastAsia="方正仿宋简体" w:cs="方正仿宋简体"/>
          <w:color w:val="auto"/>
          <w:sz w:val="32"/>
          <w:szCs w:val="32"/>
          <w:lang w:eastAsia="zh-CN"/>
        </w:rPr>
        <w:t>“中银杯”</w:t>
      </w:r>
      <w:r>
        <w:rPr>
          <w:rFonts w:hint="eastAsia" w:ascii="宋体" w:hAnsi="宋体" w:eastAsia="方正仿宋简体" w:cs="方正仿宋简体"/>
          <w:color w:val="auto"/>
          <w:sz w:val="32"/>
          <w:szCs w:val="32"/>
          <w:lang w:eastAsia="zh-CN"/>
        </w:rPr>
        <w:t>第十一届</w:t>
      </w:r>
      <w:r>
        <w:rPr>
          <w:rFonts w:hint="default" w:ascii="宋体" w:hAnsi="宋体" w:eastAsia="方正仿宋简体" w:cs="方正仿宋简体"/>
          <w:color w:val="auto"/>
          <w:sz w:val="32"/>
          <w:szCs w:val="32"/>
          <w:lang w:eastAsia="zh-CN"/>
        </w:rPr>
        <w:t>天津</w:t>
      </w:r>
      <w:r>
        <w:rPr>
          <w:rFonts w:hint="eastAsia" w:ascii="宋体" w:hAnsi="宋体" w:eastAsia="方正仿宋简体" w:cs="方正仿宋简体"/>
          <w:color w:val="auto"/>
          <w:sz w:val="32"/>
          <w:szCs w:val="32"/>
          <w:lang w:eastAsia="zh-CN"/>
        </w:rPr>
        <w:t>青年创青春大赛报名网站（www.tianjincqc.com）注册报名，并同步在全国“创青春”网站（cqc.yeeol.com）进行注册。各级团组织和有关单位、机构要广泛组织动员创业青年参赛。</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乡村振兴专项赛截止报名时间为</w:t>
      </w:r>
      <w:r>
        <w:rPr>
          <w:rFonts w:hint="eastAsia" w:ascii="Times New Roman" w:hAnsi="Times New Roman" w:eastAsia="方正仿宋简体" w:cs="Times New Roman"/>
          <w:color w:val="auto"/>
          <w:sz w:val="32"/>
          <w:szCs w:val="32"/>
          <w:lang w:eastAsia="zh-CN"/>
        </w:rPr>
        <w:t>7月14日</w:t>
      </w:r>
      <w:r>
        <w:rPr>
          <w:rFonts w:hint="eastAsia" w:ascii="宋体" w:hAnsi="宋体" w:eastAsia="方正仿宋简体" w:cs="方正仿宋简体"/>
          <w:color w:val="auto"/>
          <w:sz w:val="32"/>
          <w:szCs w:val="32"/>
          <w:lang w:eastAsia="zh-CN"/>
        </w:rPr>
        <w:t>，科技创新、数字经济、社会企业专项赛截止报名时间为</w:t>
      </w:r>
      <w:r>
        <w:rPr>
          <w:rFonts w:hint="eastAsia" w:ascii="Times New Roman" w:hAnsi="Times New Roman" w:eastAsia="方正仿宋简体" w:cs="Times New Roman"/>
          <w:color w:val="auto"/>
          <w:sz w:val="32"/>
          <w:szCs w:val="32"/>
          <w:lang w:eastAsia="zh-CN"/>
        </w:rPr>
        <w:t>7月16日</w:t>
      </w:r>
      <w:r>
        <w:rPr>
          <w:rFonts w:hint="eastAsia" w:ascii="宋体" w:hAnsi="宋体" w:eastAsia="方正仿宋简体" w:cs="方正仿宋简体"/>
          <w:color w:val="auto"/>
          <w:sz w:val="32"/>
          <w:szCs w:val="32"/>
          <w:lang w:eastAsia="zh-CN"/>
        </w:rPr>
        <w:t>。</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（二）初赛（审查）阶段：</w:t>
      </w:r>
      <w:r>
        <w:rPr>
          <w:rFonts w:hint="eastAsia" w:ascii="Times New Roman" w:hAnsi="Times New Roman" w:eastAsia="方正仿宋简体" w:cs="Times New Roman"/>
          <w:color w:val="auto"/>
          <w:sz w:val="32"/>
          <w:szCs w:val="32"/>
          <w:lang w:eastAsia="zh-CN"/>
        </w:rPr>
        <w:t>（7月16日、7月18日）</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在完成参赛项目初步审核和资格确认的基础上，由评审委员会对参赛的创业项目通过线上审查的方式进行筛选，选出复赛入围项目。</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乡村振兴专项赛初赛（审查）阶段时间为</w:t>
      </w:r>
      <w:r>
        <w:rPr>
          <w:rFonts w:hint="eastAsia" w:ascii="Times New Roman" w:hAnsi="Times New Roman" w:eastAsia="方正仿宋简体" w:cs="Times New Roman"/>
          <w:color w:val="auto"/>
          <w:sz w:val="32"/>
          <w:szCs w:val="32"/>
          <w:lang w:eastAsia="zh-CN"/>
        </w:rPr>
        <w:t>7月16日</w:t>
      </w:r>
      <w:r>
        <w:rPr>
          <w:rFonts w:hint="eastAsia" w:ascii="宋体" w:hAnsi="宋体" w:eastAsia="方正仿宋简体" w:cs="方正仿宋简体"/>
          <w:color w:val="auto"/>
          <w:sz w:val="32"/>
          <w:szCs w:val="32"/>
          <w:lang w:eastAsia="zh-CN"/>
        </w:rPr>
        <w:t>；科技创新、数字经济、社会企业专项赛初赛（审查）阶段时间为</w:t>
      </w:r>
      <w:r>
        <w:rPr>
          <w:rFonts w:hint="eastAsia" w:ascii="Times New Roman" w:hAnsi="Times New Roman" w:eastAsia="方正仿宋简体" w:cs="Times New Roman"/>
          <w:color w:val="auto"/>
          <w:sz w:val="32"/>
          <w:szCs w:val="32"/>
          <w:lang w:eastAsia="zh-CN"/>
        </w:rPr>
        <w:t>7</w:t>
      </w:r>
      <w:r>
        <w:rPr>
          <w:rFonts w:hint="eastAsia" w:ascii="宋体" w:hAnsi="宋体" w:eastAsia="方正仿宋简体" w:cs="方正仿宋简体"/>
          <w:color w:val="auto"/>
          <w:sz w:val="32"/>
          <w:szCs w:val="32"/>
          <w:lang w:eastAsia="zh-CN"/>
        </w:rPr>
        <w:t>月18日。</w:t>
      </w:r>
    </w:p>
    <w:p>
      <w:pPr>
        <w:pStyle w:val="2"/>
        <w:spacing w:line="588" w:lineRule="exact"/>
        <w:ind w:firstLine="640" w:firstLineChars="200"/>
        <w:jc w:val="both"/>
        <w:rPr>
          <w:rFonts w:hint="eastAsia" w:ascii="Times New Roman" w:hAnsi="Times New Roman" w:eastAsia="方正仿宋简体" w:cs="Times New Roman"/>
          <w:color w:val="auto"/>
          <w:sz w:val="32"/>
          <w:szCs w:val="32"/>
          <w:lang w:eastAsia="zh-CN"/>
        </w:rPr>
      </w:pPr>
      <w:r>
        <w:rPr>
          <w:rFonts w:hint="eastAsia" w:ascii="方正楷体简体" w:hAnsi="方正楷体简体" w:eastAsia="方正楷体简体" w:cs="方正楷体简体"/>
          <w:color w:val="auto"/>
          <w:sz w:val="32"/>
          <w:szCs w:val="32"/>
          <w:lang w:eastAsia="zh-CN"/>
        </w:rPr>
        <w:t>（三）复赛阶段：</w:t>
      </w:r>
      <w:r>
        <w:rPr>
          <w:rFonts w:hint="eastAsia" w:ascii="Times New Roman" w:hAnsi="Times New Roman" w:eastAsia="方正仿宋简体" w:cs="Times New Roman"/>
          <w:color w:val="auto"/>
          <w:sz w:val="32"/>
          <w:szCs w:val="32"/>
          <w:lang w:eastAsia="zh-CN"/>
        </w:rPr>
        <w:t>（7月18日、7月22日）</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复赛评审采取线上＋线下结合非公开答辩方式进行，其中线上评审，参赛选手和评委通过腾讯会议视频会议进行路演答辩。评审分科技创新、乡村振兴、数字经济、社会企业四个专项赛独立进行，分别设创新组、初创组、成长组，分别评选出若干铜奖项目，评选出优秀项目进入决赛（金银争霸赛）。</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乡村振兴专项赛复赛阶段时间为</w:t>
      </w:r>
      <w:r>
        <w:rPr>
          <w:rFonts w:hint="eastAsia" w:ascii="Times New Roman" w:hAnsi="Times New Roman" w:eastAsia="方正仿宋简体" w:cs="Times New Roman"/>
          <w:color w:val="auto"/>
          <w:sz w:val="32"/>
          <w:szCs w:val="32"/>
          <w:lang w:eastAsia="zh-CN"/>
        </w:rPr>
        <w:t>7月18日</w:t>
      </w:r>
      <w:r>
        <w:rPr>
          <w:rFonts w:hint="eastAsia" w:ascii="宋体" w:hAnsi="宋体" w:eastAsia="方正仿宋简体" w:cs="方正仿宋简体"/>
          <w:color w:val="auto"/>
          <w:sz w:val="32"/>
          <w:szCs w:val="32"/>
          <w:lang w:eastAsia="zh-CN"/>
        </w:rPr>
        <w:t>；科技创新、数字经济、社会企业专项赛复赛阶段时间为7月22日。</w:t>
      </w:r>
    </w:p>
    <w:p>
      <w:pPr>
        <w:pStyle w:val="2"/>
        <w:spacing w:line="588" w:lineRule="exact"/>
        <w:ind w:firstLine="640" w:firstLineChars="200"/>
        <w:jc w:val="both"/>
        <w:rPr>
          <w:rFonts w:hint="eastAsia" w:ascii="Times New Roman" w:hAnsi="Times New Roman" w:eastAsia="方正仿宋简体" w:cs="Times New Roman"/>
          <w:color w:val="auto"/>
          <w:sz w:val="32"/>
          <w:szCs w:val="32"/>
          <w:lang w:eastAsia="zh-CN"/>
        </w:rPr>
      </w:pPr>
      <w:r>
        <w:rPr>
          <w:rFonts w:hint="eastAsia" w:ascii="方正楷体简体" w:hAnsi="方正楷体简体" w:eastAsia="方正楷体简体" w:cs="方正楷体简体"/>
          <w:color w:val="auto"/>
          <w:sz w:val="32"/>
          <w:szCs w:val="32"/>
          <w:lang w:eastAsia="zh-CN"/>
        </w:rPr>
        <w:t>（四）项目培训：</w:t>
      </w:r>
      <w:r>
        <w:rPr>
          <w:rFonts w:hint="eastAsia" w:ascii="Times New Roman" w:hAnsi="Times New Roman" w:eastAsia="方正仿宋简体" w:cs="Times New Roman"/>
          <w:color w:val="auto"/>
          <w:sz w:val="32"/>
          <w:szCs w:val="32"/>
          <w:lang w:eastAsia="zh-CN"/>
        </w:rPr>
        <w:t>（7月24日至7月25日）</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开展创新创业训练营，帮助参赛者掌握基本商业分析技能，进行创业知识扩展，创业项目书打磨、决赛模拟、金融对接、法律咨询等方面的培训。</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（五）决赛（金银争霸赛）阶段：</w:t>
      </w:r>
      <w:r>
        <w:rPr>
          <w:rFonts w:hint="eastAsia" w:ascii="Times New Roman" w:hAnsi="Times New Roman" w:eastAsia="方正仿宋简体" w:cs="Times New Roman"/>
          <w:color w:val="auto"/>
          <w:sz w:val="32"/>
          <w:szCs w:val="32"/>
          <w:lang w:eastAsia="zh-CN"/>
        </w:rPr>
        <w:t>（8月上旬）</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四项专项赛决赛（金银争霸赛）评审采取线下非公开答辩方式进行，评选出金奖、银奖项目。</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（六）闭幕式阶段</w:t>
      </w:r>
      <w:r>
        <w:rPr>
          <w:rFonts w:hint="eastAsia" w:ascii="Times New Roman" w:hAnsi="Times New Roman" w:eastAsia="方正仿宋简体" w:cs="Times New Roman"/>
          <w:color w:val="auto"/>
          <w:sz w:val="32"/>
          <w:szCs w:val="32"/>
          <w:lang w:eastAsia="zh-CN"/>
        </w:rPr>
        <w:t>：（8月上旬）</w:t>
      </w:r>
    </w:p>
    <w:p>
      <w:pPr>
        <w:spacing w:line="588" w:lineRule="exact"/>
        <w:ind w:firstLine="640" w:firstLineChars="200"/>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进行优秀项目公开展示，总结第十一届中国青年创青春大赛天津赛区选拔赛赛事，为获奖项目和团队颁奖。</w:t>
      </w:r>
    </w:p>
    <w:p>
      <w:pPr>
        <w:spacing w:line="588" w:lineRule="exact"/>
        <w:ind w:firstLine="640" w:firstLineChars="200"/>
        <w:jc w:val="both"/>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八、支持奖励</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各专项赛设金奖</w:t>
      </w:r>
      <w:r>
        <w:rPr>
          <w:rFonts w:hint="default" w:ascii="宋体" w:hAnsi="宋体" w:eastAsia="方正仿宋简体" w:cs="方正仿宋简体"/>
          <w:color w:val="auto"/>
          <w:sz w:val="32"/>
          <w:szCs w:val="32"/>
          <w:lang w:val="en-US" w:eastAsia="zh-CN"/>
        </w:rPr>
        <w:t>3</w:t>
      </w:r>
      <w:r>
        <w:rPr>
          <w:rFonts w:hint="eastAsia" w:ascii="宋体" w:hAnsi="宋体" w:eastAsia="方正仿宋简体" w:cs="方正仿宋简体"/>
          <w:color w:val="auto"/>
          <w:sz w:val="32"/>
          <w:szCs w:val="32"/>
          <w:lang w:eastAsia="zh-CN"/>
        </w:rPr>
        <w:t>项、银奖</w:t>
      </w:r>
      <w:r>
        <w:rPr>
          <w:rFonts w:hint="default" w:ascii="宋体" w:hAnsi="宋体" w:eastAsia="方正仿宋简体" w:cs="方正仿宋简体"/>
          <w:color w:val="auto"/>
          <w:sz w:val="32"/>
          <w:szCs w:val="32"/>
          <w:lang w:val="en-US" w:eastAsia="zh-CN"/>
        </w:rPr>
        <w:t>12</w:t>
      </w:r>
      <w:r>
        <w:rPr>
          <w:rFonts w:hint="eastAsia" w:ascii="宋体" w:hAnsi="宋体" w:eastAsia="方正仿宋简体" w:cs="方正仿宋简体"/>
          <w:color w:val="auto"/>
          <w:sz w:val="32"/>
          <w:szCs w:val="32"/>
          <w:lang w:eastAsia="zh-CN"/>
        </w:rPr>
        <w:t>项、铜奖</w:t>
      </w:r>
      <w:r>
        <w:rPr>
          <w:rFonts w:hint="eastAsia" w:ascii="宋体" w:hAnsi="宋体" w:eastAsia="方正仿宋简体" w:cs="方正仿宋简体"/>
          <w:color w:val="auto"/>
          <w:sz w:val="32"/>
          <w:szCs w:val="32"/>
          <w:lang w:val="en-US" w:eastAsia="zh-CN"/>
        </w:rPr>
        <w:t>若干</w:t>
      </w:r>
      <w:r>
        <w:rPr>
          <w:rFonts w:hint="eastAsia" w:ascii="宋体" w:hAnsi="宋体" w:eastAsia="方正仿宋简体" w:cs="方正仿宋简体"/>
          <w:color w:val="auto"/>
          <w:sz w:val="32"/>
          <w:szCs w:val="32"/>
          <w:lang w:eastAsia="zh-CN"/>
        </w:rPr>
        <w:t>。获奖项目将获得</w:t>
      </w:r>
      <w:r>
        <w:rPr>
          <w:rFonts w:hint="eastAsia" w:ascii="宋体" w:hAnsi="宋体" w:eastAsia="方正仿宋简体" w:cs="方正仿宋简体"/>
          <w:color w:val="auto"/>
          <w:sz w:val="32"/>
          <w:szCs w:val="32"/>
          <w:lang w:val="en-US" w:eastAsia="zh-CN"/>
        </w:rPr>
        <w:t>大赛组织方</w:t>
      </w:r>
      <w:r>
        <w:rPr>
          <w:rFonts w:hint="eastAsia" w:ascii="宋体" w:hAnsi="宋体" w:eastAsia="方正仿宋简体" w:cs="方正仿宋简体"/>
          <w:color w:val="auto"/>
          <w:sz w:val="32"/>
          <w:szCs w:val="32"/>
          <w:lang w:eastAsia="zh-CN"/>
        </w:rPr>
        <w:t>颁发的相应等次证书，获金、银奖项目将通过组织推荐方式，参加全国赛。设立优秀组织单位奖、优秀指导教师奖，优秀组织单位和优秀指导教师将获得</w:t>
      </w:r>
      <w:r>
        <w:rPr>
          <w:rFonts w:hint="eastAsia" w:ascii="宋体" w:hAnsi="宋体" w:eastAsia="方正仿宋简体" w:cs="方正仿宋简体"/>
          <w:color w:val="auto"/>
          <w:sz w:val="32"/>
          <w:szCs w:val="32"/>
          <w:lang w:val="en-US" w:eastAsia="zh-CN"/>
        </w:rPr>
        <w:t>大赛组织方</w:t>
      </w:r>
      <w:r>
        <w:rPr>
          <w:rFonts w:hint="eastAsia" w:ascii="宋体" w:hAnsi="宋体" w:eastAsia="方正仿宋简体" w:cs="方正仿宋简体"/>
          <w:color w:val="auto"/>
          <w:sz w:val="32"/>
          <w:szCs w:val="32"/>
          <w:lang w:eastAsia="zh-CN"/>
        </w:rPr>
        <w:t>颁发的证书。</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（一）资金支持</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各赛道金奖项目将获得</w:t>
      </w:r>
      <w:r>
        <w:rPr>
          <w:rFonts w:hint="eastAsia" w:ascii="宋体" w:hAnsi="宋体" w:eastAsia="方正仿宋简体" w:cs="方正仿宋简体"/>
          <w:color w:val="auto"/>
          <w:sz w:val="32"/>
          <w:szCs w:val="32"/>
          <w:lang w:val="en-US" w:eastAsia="zh-CN"/>
        </w:rPr>
        <w:t>一定</w:t>
      </w:r>
      <w:r>
        <w:rPr>
          <w:rFonts w:hint="eastAsia" w:ascii="宋体" w:hAnsi="宋体" w:eastAsia="方正仿宋简体" w:cs="方正仿宋简体"/>
          <w:color w:val="auto"/>
          <w:sz w:val="32"/>
          <w:szCs w:val="32"/>
          <w:lang w:eastAsia="zh-CN"/>
        </w:rPr>
        <w:t>奖金</w:t>
      </w:r>
      <w:r>
        <w:rPr>
          <w:rFonts w:hint="eastAsia" w:ascii="宋体" w:hAnsi="宋体" w:eastAsia="方正仿宋简体" w:cs="方正仿宋简体"/>
          <w:color w:val="auto"/>
          <w:sz w:val="32"/>
          <w:szCs w:val="32"/>
          <w:lang w:val="en-US" w:eastAsia="zh-CN"/>
        </w:rPr>
        <w:t>支持</w:t>
      </w:r>
      <w:r>
        <w:rPr>
          <w:rFonts w:hint="eastAsia" w:ascii="宋体" w:hAnsi="宋体" w:eastAsia="方正仿宋简体" w:cs="方正仿宋简体"/>
          <w:color w:val="auto"/>
          <w:sz w:val="32"/>
          <w:szCs w:val="32"/>
          <w:lang w:eastAsia="zh-CN"/>
        </w:rPr>
        <w:t>。</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（二）政策支持</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为促进参赛项目成果落地转化，参加本届大赛的项目团队可享受天津滨海高新区提供的相关政策支持，政策包括人才引进，金融服务、技术成果转化支持、项目宣传推广等，具体政策可咨询天津滨海高新区管委会。</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（三）社会荣誉</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择优推荐获奖项目参加第十一届中国青年创青春大赛。同时，团市委和各级团组织将对创业典型和事迹予以总结推荐，通过新闻媒体宣传报道。</w:t>
      </w:r>
    </w:p>
    <w:p>
      <w:pPr>
        <w:pStyle w:val="2"/>
        <w:spacing w:line="588" w:lineRule="exact"/>
        <w:ind w:firstLine="640" w:firstLineChars="200"/>
        <w:jc w:val="both"/>
        <w:rPr>
          <w:rFonts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（四）展示交流</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获奖项目择优推荐参加2024年中国青年创新创业交流营、青年企业家论坛等相关活动。参赛选手可参加项目展示、融资对接、创业沙龙、成果转化等交流对接活动，并获得天津市创业导师团专项辅导服务。</w:t>
      </w:r>
    </w:p>
    <w:p>
      <w:pPr>
        <w:spacing w:before="120" w:beforeLines="50" w:line="560" w:lineRule="exact"/>
        <w:ind w:right="6" w:firstLine="640" w:firstLineChars="200"/>
        <w:rPr>
          <w:rFonts w:hint="default" w:ascii="宋体" w:hAnsi="宋体" w:eastAsia="方正仿宋简体" w:cs="方正仿宋简体"/>
          <w:snapToGrid w:val="0"/>
          <w:color w:val="auto"/>
          <w:sz w:val="32"/>
          <w:szCs w:val="32"/>
          <w:lang w:val="en-US" w:eastAsia="zh-CN" w:bidi="ar-SA"/>
        </w:rPr>
      </w:pPr>
      <w:r>
        <w:rPr>
          <w:rFonts w:hint="eastAsia" w:ascii="宋体" w:hAnsi="宋体" w:eastAsia="方正仿宋简体" w:cs="方正仿宋简体"/>
          <w:snapToGrid w:val="0"/>
          <w:color w:val="auto"/>
          <w:sz w:val="32"/>
          <w:szCs w:val="32"/>
          <w:lang w:val="en-US" w:eastAsia="zh-CN" w:bidi="ar-SA"/>
        </w:rPr>
        <w:t>团市委联系人：杨泽琳  王天娇</w:t>
      </w:r>
    </w:p>
    <w:p>
      <w:pPr>
        <w:spacing w:line="560" w:lineRule="exact"/>
        <w:ind w:right="6" w:firstLine="640" w:firstLineChars="200"/>
        <w:rPr>
          <w:rFonts w:hint="default" w:ascii="Times New Roman" w:hAnsi="Times New Roman" w:eastAsia="方正仿宋简体" w:cs="Times New Roman"/>
          <w:snapToGrid w:val="0"/>
          <w:color w:val="auto"/>
          <w:sz w:val="32"/>
          <w:szCs w:val="32"/>
          <w:lang w:val="en-US" w:eastAsia="zh-CN" w:bidi="ar-SA"/>
        </w:rPr>
      </w:pPr>
      <w:r>
        <w:rPr>
          <w:rFonts w:hint="eastAsia" w:ascii="宋体" w:hAnsi="宋体" w:eastAsia="方正仿宋简体" w:cs="方正仿宋简体"/>
          <w:snapToGrid w:val="0"/>
          <w:color w:val="auto"/>
          <w:sz w:val="32"/>
          <w:szCs w:val="32"/>
          <w:lang w:val="en-US" w:eastAsia="zh-CN" w:bidi="ar-SA"/>
        </w:rPr>
        <w:t>联系电话：</w:t>
      </w:r>
      <w:r>
        <w:rPr>
          <w:rFonts w:hint="eastAsia" w:ascii="Times New Roman" w:hAnsi="Times New Roman" w:eastAsia="方正仿宋简体" w:cs="Times New Roman"/>
          <w:snapToGrid w:val="0"/>
          <w:color w:val="auto"/>
          <w:sz w:val="32"/>
          <w:szCs w:val="32"/>
          <w:lang w:val="en-US" w:eastAsia="zh-CN" w:bidi="ar-SA"/>
        </w:rPr>
        <w:t>63083597</w:t>
      </w:r>
    </w:p>
    <w:p>
      <w:pPr>
        <w:spacing w:line="560" w:lineRule="exact"/>
        <w:ind w:right="6" w:firstLine="640" w:firstLineChars="200"/>
        <w:rPr>
          <w:rFonts w:hint="eastAsia" w:ascii="宋体" w:hAnsi="宋体" w:eastAsia="方正仿宋简体" w:cs="方正仿宋简体"/>
          <w:snapToGrid w:val="0"/>
          <w:color w:val="auto"/>
          <w:sz w:val="32"/>
          <w:szCs w:val="32"/>
          <w:lang w:val="en-US" w:eastAsia="zh-CN" w:bidi="ar-SA"/>
        </w:rPr>
      </w:pPr>
      <w:r>
        <w:rPr>
          <w:rFonts w:hint="eastAsia" w:ascii="宋体" w:hAnsi="宋体" w:eastAsia="方正仿宋简体" w:cs="方正仿宋简体"/>
          <w:snapToGrid w:val="0"/>
          <w:color w:val="auto"/>
          <w:sz w:val="32"/>
          <w:szCs w:val="32"/>
          <w:lang w:val="en-US" w:eastAsia="zh-CN" w:bidi="ar-SA"/>
        </w:rPr>
        <w:t>报名网站：www.tianjincqc.com</w:t>
      </w:r>
    </w:p>
    <w:p>
      <w:pPr>
        <w:spacing w:line="560" w:lineRule="exact"/>
        <w:ind w:right="6" w:firstLine="640" w:firstLineChars="200"/>
        <w:rPr>
          <w:rFonts w:hint="eastAsia" w:ascii="宋体" w:hAnsi="宋体" w:eastAsia="方正仿宋简体" w:cs="方正仿宋简体"/>
          <w:snapToGrid w:val="0"/>
          <w:color w:val="auto"/>
          <w:sz w:val="32"/>
          <w:szCs w:val="32"/>
          <w:lang w:val="en-US" w:eastAsia="zh-CN" w:bidi="ar-SA"/>
        </w:rPr>
      </w:pPr>
      <w:r>
        <w:rPr>
          <w:rFonts w:hint="eastAsia" w:ascii="宋体" w:hAnsi="宋体" w:eastAsia="方正仿宋简体" w:cs="方正仿宋简体"/>
          <w:snapToGrid w:val="0"/>
          <w:color w:val="auto"/>
          <w:sz w:val="32"/>
          <w:szCs w:val="32"/>
          <w:lang w:val="en-US" w:eastAsia="zh-CN" w:bidi="ar-SA"/>
        </w:rPr>
        <w:t>赛事咨询联系人：李沐霖  李嘉伟</w:t>
      </w:r>
    </w:p>
    <w:p>
      <w:pPr>
        <w:spacing w:line="560" w:lineRule="exact"/>
        <w:ind w:right="6" w:firstLine="640" w:firstLineChars="200"/>
        <w:rPr>
          <w:rFonts w:hint="eastAsia" w:ascii="Times New Roman" w:hAnsi="Times New Roman" w:eastAsia="方正仿宋简体" w:cs="Times New Roman"/>
          <w:snapToGrid w:val="0"/>
          <w:color w:val="auto"/>
          <w:sz w:val="32"/>
          <w:szCs w:val="32"/>
          <w:lang w:val="en-US" w:eastAsia="zh-CN" w:bidi="ar-SA"/>
        </w:rPr>
      </w:pPr>
      <w:r>
        <w:rPr>
          <w:rFonts w:hint="eastAsia" w:ascii="宋体" w:hAnsi="宋体" w:eastAsia="方正仿宋简体" w:cs="方正仿宋简体"/>
          <w:snapToGrid w:val="0"/>
          <w:color w:val="auto"/>
          <w:sz w:val="32"/>
          <w:szCs w:val="32"/>
          <w:lang w:val="en-US" w:eastAsia="zh-CN" w:bidi="ar-SA"/>
        </w:rPr>
        <w:t>联系电话：</w:t>
      </w:r>
      <w:r>
        <w:rPr>
          <w:rFonts w:hint="eastAsia" w:ascii="Times New Roman" w:hAnsi="Times New Roman" w:eastAsia="方正仿宋简体" w:cs="Times New Roman"/>
          <w:snapToGrid w:val="0"/>
          <w:color w:val="auto"/>
          <w:sz w:val="32"/>
          <w:szCs w:val="32"/>
          <w:lang w:val="en-US" w:eastAsia="zh-CN" w:bidi="ar-SA"/>
        </w:rPr>
        <w:t>13820191315  13212032891</w:t>
      </w:r>
    </w:p>
    <w:p>
      <w:pPr>
        <w:spacing w:line="560" w:lineRule="exact"/>
        <w:ind w:right="6" w:firstLine="640" w:firstLineChars="200"/>
        <w:rPr>
          <w:rFonts w:hint="eastAsia" w:ascii="宋体" w:hAnsi="宋体" w:eastAsia="方正仿宋简体" w:cs="方正仿宋简体"/>
          <w:snapToGrid w:val="0"/>
          <w:color w:val="auto"/>
          <w:sz w:val="32"/>
          <w:szCs w:val="32"/>
          <w:lang w:val="en-US" w:eastAsia="zh-CN" w:bidi="ar-SA"/>
        </w:rPr>
      </w:pPr>
      <w:r>
        <w:rPr>
          <w:rFonts w:hint="eastAsia" w:ascii="宋体" w:hAnsi="宋体" w:eastAsia="方正仿宋简体" w:cs="方正仿宋简体"/>
          <w:snapToGrid w:val="0"/>
          <w:color w:val="auto"/>
          <w:sz w:val="32"/>
          <w:szCs w:val="32"/>
          <w:lang w:val="en-US" w:eastAsia="zh-CN" w:bidi="ar-SA"/>
        </w:rPr>
        <w:t>天津滨海高新区管委会政策咨询联系人：唐静淑</w:t>
      </w:r>
    </w:p>
    <w:p>
      <w:pPr>
        <w:spacing w:line="560" w:lineRule="exact"/>
        <w:ind w:right="6" w:firstLine="640" w:firstLineChars="200"/>
        <w:rPr>
          <w:rFonts w:hint="eastAsia" w:ascii="宋体" w:hAnsi="宋体" w:eastAsia="方正仿宋简体" w:cs="方正仿宋简体"/>
          <w:snapToGrid w:val="0"/>
          <w:color w:val="auto"/>
          <w:sz w:val="32"/>
          <w:szCs w:val="32"/>
          <w:lang w:val="en-US" w:eastAsia="zh-CN" w:bidi="ar-SA"/>
        </w:rPr>
      </w:pPr>
      <w:r>
        <w:rPr>
          <w:rFonts w:hint="eastAsia" w:ascii="宋体" w:hAnsi="宋体" w:eastAsia="方正仿宋简体" w:cs="方正仿宋简体"/>
          <w:snapToGrid w:val="0"/>
          <w:color w:val="auto"/>
          <w:sz w:val="32"/>
          <w:szCs w:val="32"/>
          <w:lang w:val="en-US" w:eastAsia="zh-CN" w:bidi="ar-SA"/>
        </w:rPr>
        <w:t>联系电话：84806932</w:t>
      </w:r>
    </w:p>
    <w:p>
      <w:pPr>
        <w:pStyle w:val="2"/>
        <w:rPr>
          <w:rFonts w:hint="eastAsia"/>
          <w:color w:val="auto"/>
          <w:lang w:val="en-US" w:eastAsia="zh-CN"/>
        </w:rPr>
      </w:pPr>
    </w:p>
    <w:p>
      <w:pPr>
        <w:spacing w:line="588" w:lineRule="exact"/>
        <w:ind w:firstLine="640" w:firstLineChars="200"/>
        <w:jc w:val="both"/>
        <w:rPr>
          <w:rFonts w:ascii="宋体" w:hAnsi="宋体" w:eastAsia="黑体" w:cs="黑体"/>
          <w:color w:val="auto"/>
          <w:spacing w:val="8"/>
          <w:sz w:val="32"/>
          <w:szCs w:val="32"/>
          <w:lang w:eastAsia="zh-CN"/>
        </w:rPr>
      </w:pPr>
      <w:r>
        <w:rPr>
          <w:rFonts w:hint="eastAsia" w:ascii="宋体" w:hAnsi="宋体" w:eastAsia="方正仿宋简体" w:cs="方正仿宋简体"/>
          <w:color w:val="auto"/>
          <w:sz w:val="32"/>
          <w:szCs w:val="32"/>
          <w:lang w:eastAsia="zh-CN"/>
        </w:rPr>
        <w:t>附件：</w:t>
      </w:r>
      <w:r>
        <w:rPr>
          <w:rFonts w:hint="default" w:ascii="宋体" w:hAnsi="宋体" w:eastAsia="方正仿宋简体" w:cs="方正仿宋简体"/>
          <w:color w:val="auto"/>
          <w:sz w:val="32"/>
          <w:szCs w:val="32"/>
          <w:lang w:eastAsia="zh-CN"/>
        </w:rPr>
        <w:t>“中银杯”</w:t>
      </w:r>
      <w:r>
        <w:rPr>
          <w:rFonts w:hint="eastAsia" w:ascii="宋体" w:hAnsi="宋体" w:eastAsia="方正仿宋简体" w:cs="方正仿宋简体"/>
          <w:color w:val="auto"/>
          <w:sz w:val="32"/>
          <w:szCs w:val="32"/>
          <w:lang w:eastAsia="zh-CN"/>
        </w:rPr>
        <w:t>第十一届</w:t>
      </w:r>
      <w:r>
        <w:rPr>
          <w:rFonts w:hint="default" w:ascii="宋体" w:hAnsi="宋体" w:eastAsia="方正仿宋简体" w:cs="方正仿宋简体"/>
          <w:color w:val="auto"/>
          <w:sz w:val="32"/>
          <w:szCs w:val="32"/>
          <w:lang w:eastAsia="zh-CN"/>
        </w:rPr>
        <w:t>天津</w:t>
      </w:r>
      <w:r>
        <w:rPr>
          <w:rFonts w:hint="eastAsia" w:ascii="宋体" w:hAnsi="宋体" w:eastAsia="方正仿宋简体" w:cs="方正仿宋简体"/>
          <w:color w:val="auto"/>
          <w:sz w:val="32"/>
          <w:szCs w:val="32"/>
          <w:lang w:eastAsia="zh-CN"/>
        </w:rPr>
        <w:t>青年创青春大赛竞赛规则</w:t>
      </w:r>
    </w:p>
    <w:p>
      <w:pPr>
        <w:rPr>
          <w:rFonts w:hint="eastAsia" w:ascii="宋体" w:hAnsi="宋体" w:eastAsia="黑体" w:cs="黑体"/>
          <w:color w:val="auto"/>
          <w:spacing w:val="8"/>
          <w:sz w:val="32"/>
          <w:szCs w:val="32"/>
          <w:lang w:eastAsia="zh-CN"/>
        </w:rPr>
      </w:pPr>
      <w:r>
        <w:rPr>
          <w:rFonts w:hint="eastAsia" w:ascii="宋体" w:hAnsi="宋体" w:eastAsia="黑体" w:cs="黑体"/>
          <w:color w:val="auto"/>
          <w:spacing w:val="8"/>
          <w:sz w:val="32"/>
          <w:szCs w:val="32"/>
          <w:lang w:eastAsia="zh-CN"/>
        </w:rPr>
        <w:br w:type="page"/>
      </w:r>
    </w:p>
    <w:p>
      <w:pPr>
        <w:pStyle w:val="2"/>
        <w:spacing w:line="588" w:lineRule="exact"/>
        <w:rPr>
          <w:rFonts w:ascii="宋体" w:hAnsi="宋体" w:eastAsia="黑体" w:cs="黑体"/>
          <w:color w:val="auto"/>
          <w:spacing w:val="8"/>
          <w:sz w:val="32"/>
          <w:szCs w:val="32"/>
          <w:lang w:eastAsia="zh-CN"/>
        </w:rPr>
      </w:pPr>
      <w:r>
        <w:rPr>
          <w:rFonts w:hint="eastAsia" w:ascii="宋体" w:hAnsi="宋体" w:eastAsia="黑体" w:cs="黑体"/>
          <w:color w:val="auto"/>
          <w:spacing w:val="8"/>
          <w:sz w:val="32"/>
          <w:szCs w:val="32"/>
          <w:lang w:eastAsia="zh-CN"/>
        </w:rPr>
        <w:t>附件</w:t>
      </w:r>
    </w:p>
    <w:p>
      <w:pPr>
        <w:widowControl w:val="0"/>
        <w:kinsoku/>
        <w:autoSpaceDE/>
        <w:autoSpaceDN/>
        <w:adjustRightInd/>
        <w:spacing w:line="680" w:lineRule="exact"/>
        <w:jc w:val="center"/>
        <w:textAlignment w:val="auto"/>
        <w:rPr>
          <w:rFonts w:ascii="宋体" w:hAnsi="宋体" w:eastAsia="方正小标宋简体" w:cs="Times New Roman"/>
          <w:snapToGrid/>
          <w:color w:val="auto"/>
          <w:kern w:val="2"/>
          <w:sz w:val="44"/>
          <w:szCs w:val="44"/>
          <w:lang w:eastAsia="zh-CN"/>
        </w:rPr>
      </w:pPr>
    </w:p>
    <w:p>
      <w:pPr>
        <w:widowControl w:val="0"/>
        <w:kinsoku/>
        <w:autoSpaceDE/>
        <w:autoSpaceDN/>
        <w:adjustRightInd/>
        <w:spacing w:line="680" w:lineRule="exact"/>
        <w:jc w:val="center"/>
        <w:textAlignment w:val="auto"/>
        <w:rPr>
          <w:rFonts w:hint="eastAsia" w:ascii="宋体" w:hAnsi="宋体" w:eastAsia="方正小标宋简体" w:cs="Times New Roman"/>
          <w:snapToGrid/>
          <w:color w:val="auto"/>
          <w:kern w:val="2"/>
          <w:sz w:val="44"/>
          <w:szCs w:val="44"/>
          <w:lang w:eastAsia="zh-CN"/>
        </w:rPr>
      </w:pPr>
      <w:r>
        <w:rPr>
          <w:rFonts w:hint="default" w:ascii="宋体" w:hAnsi="宋体" w:eastAsia="方正小标宋简体" w:cs="Times New Roman"/>
          <w:snapToGrid/>
          <w:color w:val="auto"/>
          <w:kern w:val="2"/>
          <w:sz w:val="44"/>
          <w:szCs w:val="44"/>
          <w:lang w:eastAsia="zh-CN"/>
        </w:rPr>
        <w:t>“中银杯”</w:t>
      </w:r>
      <w:r>
        <w:rPr>
          <w:rFonts w:hint="eastAsia" w:ascii="宋体" w:hAnsi="宋体" w:eastAsia="方正小标宋简体" w:cs="Times New Roman"/>
          <w:snapToGrid/>
          <w:color w:val="auto"/>
          <w:kern w:val="2"/>
          <w:sz w:val="44"/>
          <w:szCs w:val="44"/>
          <w:lang w:eastAsia="zh-CN"/>
        </w:rPr>
        <w:t>第十一届</w:t>
      </w:r>
      <w:r>
        <w:rPr>
          <w:rFonts w:hint="default" w:ascii="宋体" w:hAnsi="宋体" w:eastAsia="方正小标宋简体" w:cs="Times New Roman"/>
          <w:snapToGrid/>
          <w:color w:val="auto"/>
          <w:kern w:val="2"/>
          <w:sz w:val="44"/>
          <w:szCs w:val="44"/>
          <w:lang w:eastAsia="zh-CN"/>
        </w:rPr>
        <w:t>天津</w:t>
      </w:r>
      <w:r>
        <w:rPr>
          <w:rFonts w:hint="eastAsia" w:ascii="宋体" w:hAnsi="宋体" w:eastAsia="方正小标宋简体" w:cs="Times New Roman"/>
          <w:snapToGrid/>
          <w:color w:val="auto"/>
          <w:kern w:val="2"/>
          <w:sz w:val="44"/>
          <w:szCs w:val="44"/>
          <w:lang w:eastAsia="zh-CN"/>
        </w:rPr>
        <w:t>青年创青春大赛</w:t>
      </w:r>
    </w:p>
    <w:p>
      <w:pPr>
        <w:widowControl w:val="0"/>
        <w:kinsoku/>
        <w:autoSpaceDE/>
        <w:autoSpaceDN/>
        <w:adjustRightInd/>
        <w:spacing w:line="680" w:lineRule="exact"/>
        <w:jc w:val="center"/>
        <w:textAlignment w:val="auto"/>
        <w:rPr>
          <w:rFonts w:hint="eastAsia" w:ascii="宋体" w:hAnsi="宋体" w:eastAsia="方正小标宋简体" w:cs="Times New Roman"/>
          <w:snapToGrid/>
          <w:color w:val="auto"/>
          <w:kern w:val="2"/>
          <w:sz w:val="44"/>
          <w:szCs w:val="44"/>
          <w:lang w:eastAsia="zh-CN"/>
        </w:rPr>
      </w:pPr>
      <w:r>
        <w:rPr>
          <w:rFonts w:hint="eastAsia" w:ascii="宋体" w:hAnsi="宋体" w:eastAsia="方正小标宋简体" w:cs="Times New Roman"/>
          <w:snapToGrid/>
          <w:color w:val="auto"/>
          <w:kern w:val="2"/>
          <w:sz w:val="44"/>
          <w:szCs w:val="44"/>
          <w:lang w:eastAsia="zh-CN"/>
        </w:rPr>
        <w:t>竞赛规则</w:t>
      </w:r>
    </w:p>
    <w:p>
      <w:pPr>
        <w:widowControl w:val="0"/>
        <w:kinsoku/>
        <w:autoSpaceDE/>
        <w:autoSpaceDN/>
        <w:adjustRightInd/>
        <w:spacing w:line="680" w:lineRule="exact"/>
        <w:ind w:firstLine="640" w:firstLineChars="200"/>
        <w:jc w:val="both"/>
        <w:textAlignment w:val="auto"/>
        <w:rPr>
          <w:rFonts w:ascii="宋体" w:hAnsi="宋体" w:eastAsia="黑体" w:cs="黑体"/>
          <w:snapToGrid/>
          <w:color w:val="auto"/>
          <w:kern w:val="2"/>
          <w:sz w:val="32"/>
          <w:szCs w:val="32"/>
          <w:lang w:eastAsia="zh-CN"/>
        </w:rPr>
      </w:pPr>
    </w:p>
    <w:p>
      <w:pPr>
        <w:widowControl w:val="0"/>
        <w:kinsoku/>
        <w:autoSpaceDE/>
        <w:autoSpaceDN/>
        <w:adjustRightInd/>
        <w:spacing w:line="588" w:lineRule="exact"/>
        <w:ind w:firstLine="640" w:firstLineChars="200"/>
        <w:jc w:val="both"/>
        <w:textAlignment w:val="auto"/>
        <w:rPr>
          <w:rFonts w:ascii="宋体" w:hAnsi="宋体" w:eastAsia="黑体" w:cs="黑体"/>
          <w:snapToGrid/>
          <w:color w:val="auto"/>
          <w:kern w:val="2"/>
          <w:sz w:val="32"/>
          <w:szCs w:val="32"/>
          <w:lang w:eastAsia="zh-CN"/>
        </w:rPr>
      </w:pPr>
      <w:r>
        <w:rPr>
          <w:rFonts w:hint="eastAsia" w:ascii="宋体" w:hAnsi="宋体" w:eastAsia="黑体" w:cs="黑体"/>
          <w:snapToGrid/>
          <w:color w:val="auto"/>
          <w:kern w:val="2"/>
          <w:sz w:val="32"/>
          <w:szCs w:val="32"/>
          <w:lang w:eastAsia="zh-CN"/>
        </w:rPr>
        <w:t>一、大赛组织</w:t>
      </w:r>
    </w:p>
    <w:p>
      <w:pPr>
        <w:pStyle w:val="2"/>
        <w:spacing w:line="588" w:lineRule="exact"/>
        <w:ind w:firstLine="640" w:firstLineChars="200"/>
        <w:jc w:val="both"/>
        <w:rPr>
          <w:rFonts w:ascii="宋体" w:hAnsi="宋体" w:eastAsia="方正楷体简体" w:cs="方正楷体简体"/>
          <w:color w:val="auto"/>
          <w:sz w:val="32"/>
          <w:szCs w:val="32"/>
          <w:lang w:eastAsia="zh-CN"/>
        </w:rPr>
      </w:pPr>
      <w:r>
        <w:rPr>
          <w:rFonts w:hint="eastAsia" w:ascii="宋体" w:hAnsi="宋体" w:eastAsia="方正楷体简体" w:cs="方正楷体简体"/>
          <w:color w:val="auto"/>
          <w:sz w:val="32"/>
          <w:szCs w:val="32"/>
          <w:lang w:eastAsia="zh-CN"/>
        </w:rPr>
        <w:t>（一）参赛者报名</w:t>
      </w:r>
    </w:p>
    <w:p>
      <w:pPr>
        <w:pStyle w:val="2"/>
        <w:spacing w:line="588" w:lineRule="exact"/>
        <w:ind w:firstLine="640" w:firstLineChars="200"/>
        <w:jc w:val="both"/>
        <w:rPr>
          <w:rFonts w:hint="eastAsia"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1.参赛者须通过登录</w:t>
      </w:r>
      <w:r>
        <w:rPr>
          <w:rFonts w:hint="default" w:ascii="宋体" w:hAnsi="宋体" w:eastAsia="方正仿宋简体" w:cs="方正仿宋简体"/>
          <w:color w:val="auto"/>
          <w:sz w:val="32"/>
          <w:szCs w:val="32"/>
          <w:lang w:eastAsia="zh-CN"/>
        </w:rPr>
        <w:t>“中银杯”</w:t>
      </w:r>
      <w:r>
        <w:rPr>
          <w:rFonts w:hint="eastAsia" w:ascii="宋体" w:hAnsi="宋体" w:eastAsia="方正仿宋简体" w:cs="方正仿宋简体"/>
          <w:color w:val="auto"/>
          <w:sz w:val="32"/>
          <w:szCs w:val="32"/>
          <w:lang w:eastAsia="zh-CN"/>
        </w:rPr>
        <w:t>第十一届</w:t>
      </w:r>
      <w:r>
        <w:rPr>
          <w:rFonts w:hint="default" w:ascii="宋体" w:hAnsi="宋体" w:eastAsia="方正仿宋简体" w:cs="方正仿宋简体"/>
          <w:color w:val="auto"/>
          <w:sz w:val="32"/>
          <w:szCs w:val="32"/>
          <w:lang w:eastAsia="zh-CN"/>
        </w:rPr>
        <w:t>天津</w:t>
      </w:r>
      <w:r>
        <w:rPr>
          <w:rFonts w:hint="eastAsia" w:ascii="宋体" w:hAnsi="宋体" w:eastAsia="方正仿宋简体" w:cs="方正仿宋简体"/>
          <w:color w:val="auto"/>
          <w:sz w:val="32"/>
          <w:szCs w:val="32"/>
          <w:lang w:eastAsia="zh-CN"/>
        </w:rPr>
        <w:t>青年创青春大赛报名网站（www.tianjincqc.com）注册报名，并同步在全国“创青春”网站（cqc.yeeol.com）进行注册。</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2.参赛者在报名表中所选择的“报名区”，为参赛者公司注册地或推荐报名大赛的团组织所在区。</w:t>
      </w:r>
    </w:p>
    <w:p>
      <w:pPr>
        <w:pStyle w:val="2"/>
        <w:spacing w:line="588" w:lineRule="exact"/>
        <w:ind w:firstLine="640" w:firstLineChars="200"/>
        <w:jc w:val="both"/>
        <w:rPr>
          <w:rFonts w:ascii="宋体" w:hAnsi="宋体" w:eastAsia="方正楷体简体" w:cs="方正楷体简体"/>
          <w:color w:val="auto"/>
          <w:sz w:val="32"/>
          <w:szCs w:val="32"/>
          <w:lang w:eastAsia="zh-CN"/>
        </w:rPr>
      </w:pPr>
      <w:r>
        <w:rPr>
          <w:rFonts w:hint="eastAsia" w:ascii="宋体" w:hAnsi="宋体" w:eastAsia="方正楷体简体" w:cs="方正楷体简体"/>
          <w:color w:val="auto"/>
          <w:sz w:val="32"/>
          <w:szCs w:val="32"/>
          <w:lang w:eastAsia="zh-CN"/>
        </w:rPr>
        <w:t>（二）评审委员会的产生</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1.评审委员会由投资人、专家学者、创业导师组成。</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2.投资人由大赛组织方定向邀请及各合作机构推荐。</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3.专家学者由大赛组织方定向邀请。</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4.创业导师由各合作创业服务机构和各区团组织推荐，须经大赛组织方审核确认。</w:t>
      </w:r>
    </w:p>
    <w:p>
      <w:pPr>
        <w:pStyle w:val="2"/>
        <w:spacing w:line="588" w:lineRule="exact"/>
        <w:ind w:firstLine="640" w:firstLineChars="200"/>
        <w:jc w:val="both"/>
        <w:rPr>
          <w:rFonts w:ascii="宋体" w:hAnsi="宋体" w:eastAsia="方正楷体简体" w:cs="方正楷体简体"/>
          <w:color w:val="auto"/>
          <w:sz w:val="32"/>
          <w:szCs w:val="32"/>
          <w:lang w:eastAsia="zh-CN"/>
        </w:rPr>
      </w:pPr>
      <w:r>
        <w:rPr>
          <w:rFonts w:hint="eastAsia" w:ascii="宋体" w:hAnsi="宋体" w:eastAsia="方正楷体简体" w:cs="方正楷体简体"/>
          <w:color w:val="auto"/>
          <w:sz w:val="32"/>
          <w:szCs w:val="32"/>
          <w:lang w:eastAsia="zh-CN"/>
        </w:rPr>
        <w:t>（三）大赛评委的产生</w:t>
      </w:r>
    </w:p>
    <w:p>
      <w:pPr>
        <w:pStyle w:val="2"/>
        <w:spacing w:line="588" w:lineRule="exact"/>
        <w:ind w:firstLine="640" w:firstLineChars="200"/>
        <w:jc w:val="both"/>
        <w:rPr>
          <w:rFonts w:ascii="宋体" w:hAnsi="宋体" w:eastAsia="方正仿宋简体" w:cs="方正仿宋简体"/>
          <w:color w:val="auto"/>
          <w:sz w:val="32"/>
          <w:szCs w:val="32"/>
          <w:lang w:eastAsia="zh-CN"/>
        </w:rPr>
      </w:pPr>
      <w:r>
        <w:rPr>
          <w:rFonts w:hint="eastAsia" w:ascii="宋体" w:hAnsi="宋体" w:eastAsia="方正仿宋简体" w:cs="方正仿宋简体"/>
          <w:color w:val="auto"/>
          <w:sz w:val="32"/>
          <w:szCs w:val="32"/>
          <w:lang w:eastAsia="zh-CN"/>
        </w:rPr>
        <w:t>每场比赛评委人数须为单数。从投资人、专家学者、创业导师中产生。</w:t>
      </w:r>
    </w:p>
    <w:p>
      <w:pPr>
        <w:pStyle w:val="2"/>
        <w:widowControl w:val="0"/>
        <w:spacing w:line="588" w:lineRule="exact"/>
        <w:ind w:firstLine="640" w:firstLineChars="200"/>
        <w:jc w:val="both"/>
        <w:rPr>
          <w:rFonts w:ascii="宋体" w:hAnsi="宋体" w:eastAsia="方正楷体简体" w:cs="方正楷体简体"/>
          <w:color w:val="000000"/>
          <w:sz w:val="32"/>
          <w:szCs w:val="32"/>
          <w:lang w:eastAsia="zh-CN"/>
        </w:rPr>
      </w:pPr>
      <w:r>
        <w:rPr>
          <w:rFonts w:hint="eastAsia" w:ascii="宋体" w:hAnsi="宋体" w:eastAsia="方正楷体简体" w:cs="方正楷体简体"/>
          <w:color w:val="000000"/>
          <w:sz w:val="32"/>
          <w:szCs w:val="32"/>
          <w:lang w:eastAsia="zh-CN"/>
        </w:rPr>
        <w:t>（四）大赛组织</w:t>
      </w:r>
    </w:p>
    <w:p>
      <w:pPr>
        <w:pStyle w:val="2"/>
        <w:widowControl w:val="0"/>
        <w:spacing w:line="588" w:lineRule="exact"/>
        <w:ind w:firstLine="640" w:firstLineChars="200"/>
        <w:jc w:val="both"/>
        <w:rPr>
          <w:rFonts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1.大赛分为初赛（审查）、复赛、决赛（金银争霸赛）三个环节。</w:t>
      </w:r>
    </w:p>
    <w:p>
      <w:pPr>
        <w:pStyle w:val="2"/>
        <w:widowControl w:val="0"/>
        <w:spacing w:line="588" w:lineRule="exact"/>
        <w:ind w:firstLine="640" w:firstLineChars="200"/>
        <w:jc w:val="both"/>
        <w:rPr>
          <w:rFonts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2.按照大赛组织方分配名额、评审分数排名晋级，根据全国大赛组委会分配名额，选拔相应数量的项目参加国赛。</w:t>
      </w:r>
    </w:p>
    <w:p>
      <w:pPr>
        <w:pStyle w:val="2"/>
        <w:widowControl w:val="0"/>
        <w:spacing w:line="588" w:lineRule="exact"/>
        <w:ind w:firstLine="640" w:firstLineChars="200"/>
        <w:jc w:val="both"/>
        <w:rPr>
          <w:rFonts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3.比赛结果将在大赛结束后公布，由大赛组织方负责最终解释。</w:t>
      </w:r>
    </w:p>
    <w:p>
      <w:pPr>
        <w:widowControl w:val="0"/>
        <w:kinsoku/>
        <w:autoSpaceDE/>
        <w:autoSpaceDN/>
        <w:adjustRightInd/>
        <w:spacing w:line="588" w:lineRule="exact"/>
        <w:ind w:firstLine="640" w:firstLineChars="200"/>
        <w:jc w:val="both"/>
        <w:textAlignment w:val="auto"/>
        <w:rPr>
          <w:rFonts w:ascii="宋体" w:hAnsi="宋体" w:eastAsia="黑体" w:cs="黑体"/>
          <w:snapToGrid/>
          <w:kern w:val="2"/>
          <w:sz w:val="32"/>
          <w:szCs w:val="32"/>
          <w:lang w:eastAsia="zh-CN"/>
        </w:rPr>
      </w:pPr>
      <w:r>
        <w:rPr>
          <w:rFonts w:hint="eastAsia" w:ascii="宋体" w:hAnsi="宋体" w:eastAsia="黑体" w:cs="黑体"/>
          <w:snapToGrid/>
          <w:kern w:val="2"/>
          <w:sz w:val="32"/>
          <w:szCs w:val="32"/>
          <w:lang w:eastAsia="zh-CN"/>
        </w:rPr>
        <w:t>二、评审标准</w:t>
      </w:r>
    </w:p>
    <w:p>
      <w:pPr>
        <w:pStyle w:val="2"/>
        <w:spacing w:line="588" w:lineRule="exact"/>
        <w:ind w:firstLine="640" w:firstLineChars="200"/>
        <w:jc w:val="both"/>
        <w:rPr>
          <w:rFonts w:ascii="宋体" w:hAnsi="宋体" w:eastAsia="方正楷体简体" w:cs="方正楷体简体"/>
          <w:color w:val="000000"/>
          <w:sz w:val="32"/>
          <w:szCs w:val="32"/>
          <w:lang w:eastAsia="zh-CN"/>
        </w:rPr>
      </w:pPr>
      <w:r>
        <w:rPr>
          <w:rFonts w:hint="eastAsia" w:ascii="宋体" w:hAnsi="宋体" w:eastAsia="方正楷体简体" w:cs="方正楷体简体"/>
          <w:color w:val="000000"/>
          <w:sz w:val="32"/>
          <w:szCs w:val="32"/>
          <w:lang w:eastAsia="zh-CN"/>
        </w:rPr>
        <w:t>（一）创新组评分表</w:t>
      </w:r>
    </w:p>
    <w:p>
      <w:pPr>
        <w:spacing w:line="154" w:lineRule="exact"/>
        <w:rPr>
          <w:rFonts w:ascii="宋体" w:hAnsi="宋体"/>
          <w:color w:val="000000"/>
          <w:lang w:eastAsia="zh-CN"/>
        </w:rPr>
      </w:pPr>
    </w:p>
    <w:tbl>
      <w:tblPr>
        <w:tblStyle w:val="12"/>
        <w:tblW w:w="8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4"/>
        <w:gridCol w:w="5544"/>
        <w:gridCol w:w="1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exact"/>
        </w:trPr>
        <w:tc>
          <w:tcPr>
            <w:tcW w:w="2104" w:type="dxa"/>
            <w:vAlign w:val="center"/>
          </w:tcPr>
          <w:p>
            <w:pPr>
              <w:jc w:val="center"/>
              <w:rPr>
                <w:rFonts w:ascii="宋体" w:hAnsi="宋体" w:eastAsia="黑体" w:cs="黑体"/>
                <w:color w:val="000000"/>
                <w:sz w:val="28"/>
                <w:szCs w:val="28"/>
              </w:rPr>
            </w:pPr>
            <w:r>
              <w:rPr>
                <w:rFonts w:hint="eastAsia" w:ascii="宋体" w:hAnsi="宋体" w:eastAsia="黑体" w:cs="黑体"/>
                <w:color w:val="000000"/>
                <w:sz w:val="28"/>
                <w:szCs w:val="28"/>
              </w:rPr>
              <w:t>评分项目</w:t>
            </w:r>
          </w:p>
        </w:tc>
        <w:tc>
          <w:tcPr>
            <w:tcW w:w="5544" w:type="dxa"/>
            <w:vAlign w:val="center"/>
          </w:tcPr>
          <w:p>
            <w:pPr>
              <w:jc w:val="center"/>
              <w:rPr>
                <w:rFonts w:ascii="宋体" w:hAnsi="宋体" w:eastAsia="黑体" w:cs="黑体"/>
                <w:color w:val="000000"/>
                <w:sz w:val="28"/>
                <w:szCs w:val="28"/>
              </w:rPr>
            </w:pPr>
            <w:r>
              <w:rPr>
                <w:rFonts w:hint="eastAsia" w:ascii="宋体" w:hAnsi="宋体" w:eastAsia="黑体" w:cs="黑体"/>
                <w:color w:val="000000"/>
                <w:sz w:val="28"/>
                <w:szCs w:val="28"/>
              </w:rPr>
              <w:t>主要考察指标</w:t>
            </w:r>
          </w:p>
        </w:tc>
        <w:tc>
          <w:tcPr>
            <w:tcW w:w="1211" w:type="dxa"/>
            <w:vAlign w:val="center"/>
          </w:tcPr>
          <w:p>
            <w:pPr>
              <w:jc w:val="center"/>
              <w:rPr>
                <w:rFonts w:ascii="宋体" w:hAnsi="宋体" w:eastAsia="黑体" w:cs="黑体"/>
                <w:color w:val="000000"/>
                <w:sz w:val="28"/>
                <w:szCs w:val="28"/>
              </w:rPr>
            </w:pPr>
            <w:r>
              <w:rPr>
                <w:rFonts w:hint="eastAsia" w:ascii="宋体" w:hAnsi="宋体" w:eastAsia="黑体" w:cs="黑体"/>
                <w:color w:val="000000"/>
                <w:sz w:val="28"/>
                <w:szCs w:val="28"/>
              </w:rPr>
              <w:t>评分比重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exact"/>
        </w:trPr>
        <w:tc>
          <w:tcPr>
            <w:tcW w:w="2104"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产品（服务）</w:t>
            </w:r>
          </w:p>
        </w:tc>
        <w:tc>
          <w:tcPr>
            <w:tcW w:w="5544" w:type="dxa"/>
            <w:vAlign w:val="center"/>
          </w:tcPr>
          <w:p>
            <w:pPr>
              <w:rPr>
                <w:rFonts w:ascii="宋体" w:hAnsi="宋体" w:eastAsia="方正仿宋简体" w:cs="方正仿宋简体"/>
                <w:color w:val="000000"/>
                <w:sz w:val="28"/>
                <w:szCs w:val="28"/>
                <w:lang w:eastAsia="zh-CN"/>
              </w:rPr>
            </w:pPr>
            <w:r>
              <w:rPr>
                <w:rFonts w:hint="eastAsia" w:ascii="宋体" w:hAnsi="宋体" w:eastAsia="方正仿宋简体" w:cs="方正仿宋简体"/>
                <w:color w:val="000000"/>
                <w:sz w:val="28"/>
                <w:szCs w:val="28"/>
                <w:lang w:eastAsia="zh-CN"/>
              </w:rPr>
              <w:t>此项主要考察：原创设计、视角独特、主题鲜明、商业价值、社会需求、技术含量、发展态势预测。</w:t>
            </w:r>
          </w:p>
        </w:tc>
        <w:tc>
          <w:tcPr>
            <w:tcW w:w="1211"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exact"/>
        </w:trPr>
        <w:tc>
          <w:tcPr>
            <w:tcW w:w="2104"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团队</w:t>
            </w:r>
          </w:p>
        </w:tc>
        <w:tc>
          <w:tcPr>
            <w:tcW w:w="5544" w:type="dxa"/>
            <w:vAlign w:val="center"/>
          </w:tcPr>
          <w:p>
            <w:pPr>
              <w:rPr>
                <w:rFonts w:ascii="宋体" w:hAnsi="宋体" w:eastAsia="方正仿宋简体" w:cs="方正仿宋简体"/>
                <w:color w:val="000000"/>
                <w:sz w:val="28"/>
                <w:szCs w:val="28"/>
                <w:lang w:eastAsia="zh-CN"/>
              </w:rPr>
            </w:pPr>
            <w:r>
              <w:rPr>
                <w:rFonts w:hint="eastAsia" w:ascii="宋体" w:hAnsi="宋体" w:eastAsia="方正仿宋简体" w:cs="方正仿宋简体"/>
                <w:color w:val="000000"/>
                <w:sz w:val="28"/>
                <w:szCs w:val="28"/>
                <w:lang w:eastAsia="zh-CN"/>
              </w:rPr>
              <w:t>此项主要考察：创始团队完整性、互补性、资历背景及资源整合能力。</w:t>
            </w:r>
          </w:p>
        </w:tc>
        <w:tc>
          <w:tcPr>
            <w:tcW w:w="1211"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exact"/>
        </w:trPr>
        <w:tc>
          <w:tcPr>
            <w:tcW w:w="2104"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商业模式</w:t>
            </w:r>
          </w:p>
        </w:tc>
        <w:tc>
          <w:tcPr>
            <w:tcW w:w="5544" w:type="dxa"/>
            <w:vAlign w:val="center"/>
          </w:tcPr>
          <w:p>
            <w:pPr>
              <w:rPr>
                <w:rFonts w:ascii="宋体" w:hAnsi="宋体" w:eastAsia="方正仿宋简体" w:cs="方正仿宋简体"/>
                <w:color w:val="000000"/>
                <w:sz w:val="28"/>
                <w:szCs w:val="28"/>
                <w:lang w:eastAsia="zh-CN"/>
              </w:rPr>
            </w:pPr>
            <w:r>
              <w:rPr>
                <w:rFonts w:hint="eastAsia" w:ascii="宋体" w:hAnsi="宋体" w:eastAsia="方正仿宋简体" w:cs="方正仿宋简体"/>
                <w:color w:val="000000"/>
                <w:sz w:val="28"/>
                <w:szCs w:val="28"/>
                <w:lang w:eastAsia="zh-CN"/>
              </w:rPr>
              <w:t>此项主要考察：商业模式设计合理性及可行性。</w:t>
            </w:r>
          </w:p>
        </w:tc>
        <w:tc>
          <w:tcPr>
            <w:tcW w:w="1211"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exact"/>
        </w:trPr>
        <w:tc>
          <w:tcPr>
            <w:tcW w:w="2104"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市场及竞争力</w:t>
            </w:r>
          </w:p>
        </w:tc>
        <w:tc>
          <w:tcPr>
            <w:tcW w:w="5544" w:type="dxa"/>
            <w:vAlign w:val="center"/>
          </w:tcPr>
          <w:p>
            <w:pPr>
              <w:rPr>
                <w:rFonts w:ascii="宋体" w:hAnsi="宋体" w:eastAsia="方正仿宋简体" w:cs="方正仿宋简体"/>
                <w:color w:val="000000"/>
                <w:sz w:val="28"/>
                <w:szCs w:val="28"/>
                <w:lang w:eastAsia="zh-CN"/>
              </w:rPr>
            </w:pPr>
            <w:r>
              <w:rPr>
                <w:rFonts w:hint="eastAsia" w:ascii="宋体" w:hAnsi="宋体" w:eastAsia="方正仿宋简体" w:cs="方正仿宋简体"/>
                <w:color w:val="000000"/>
                <w:sz w:val="28"/>
                <w:szCs w:val="28"/>
                <w:lang w:eastAsia="zh-CN"/>
              </w:rPr>
              <w:t>此项主要考察：市场前景乐观、适于自主创业、市场描述、市场变化趋势及潜力、目标市场及客户定位、市场调查分析。</w:t>
            </w:r>
          </w:p>
        </w:tc>
        <w:tc>
          <w:tcPr>
            <w:tcW w:w="1211"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exact"/>
        </w:trPr>
        <w:tc>
          <w:tcPr>
            <w:tcW w:w="2104"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计划书</w:t>
            </w:r>
          </w:p>
        </w:tc>
        <w:tc>
          <w:tcPr>
            <w:tcW w:w="5544" w:type="dxa"/>
            <w:vAlign w:val="center"/>
          </w:tcPr>
          <w:p>
            <w:pPr>
              <w:rPr>
                <w:rFonts w:ascii="宋体" w:hAnsi="宋体" w:eastAsia="方正仿宋简体" w:cs="方正仿宋简体"/>
                <w:color w:val="000000"/>
                <w:sz w:val="28"/>
                <w:szCs w:val="28"/>
                <w:lang w:eastAsia="zh-CN"/>
              </w:rPr>
            </w:pPr>
            <w:r>
              <w:rPr>
                <w:rFonts w:hint="eastAsia" w:ascii="宋体" w:hAnsi="宋体" w:eastAsia="方正仿宋简体" w:cs="方正仿宋简体"/>
                <w:color w:val="000000"/>
                <w:sz w:val="28"/>
                <w:szCs w:val="28"/>
                <w:lang w:eastAsia="zh-CN"/>
              </w:rPr>
              <w:t>此项主要考察：简明扼要、描述准确、突出项目点、材料详实、文字表达清楚、选题与创意紧密结合、新颖独特。</w:t>
            </w:r>
          </w:p>
        </w:tc>
        <w:tc>
          <w:tcPr>
            <w:tcW w:w="1211"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exact"/>
        </w:trPr>
        <w:tc>
          <w:tcPr>
            <w:tcW w:w="2104"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其他</w:t>
            </w:r>
          </w:p>
        </w:tc>
        <w:tc>
          <w:tcPr>
            <w:tcW w:w="5544" w:type="dxa"/>
            <w:vAlign w:val="center"/>
          </w:tcPr>
          <w:p>
            <w:pPr>
              <w:rPr>
                <w:rFonts w:ascii="宋体" w:hAnsi="宋体" w:eastAsia="方正仿宋简体" w:cs="方正仿宋简体"/>
                <w:color w:val="000000"/>
                <w:sz w:val="28"/>
                <w:szCs w:val="28"/>
                <w:lang w:eastAsia="zh-CN"/>
              </w:rPr>
            </w:pPr>
            <w:r>
              <w:rPr>
                <w:rFonts w:hint="eastAsia" w:ascii="宋体" w:hAnsi="宋体" w:eastAsia="方正仿宋简体" w:cs="方正仿宋简体"/>
                <w:color w:val="000000"/>
                <w:sz w:val="28"/>
                <w:szCs w:val="28"/>
                <w:lang w:eastAsia="zh-CN"/>
              </w:rPr>
              <w:t>此项主要考察：社会效益、带动就业能力。</w:t>
            </w:r>
          </w:p>
        </w:tc>
        <w:tc>
          <w:tcPr>
            <w:tcW w:w="1211" w:type="dxa"/>
            <w:vAlign w:val="center"/>
          </w:tcPr>
          <w:p>
            <w:pPr>
              <w:jc w:val="center"/>
              <w:rPr>
                <w:rFonts w:ascii="宋体" w:hAnsi="宋体" w:eastAsia="方正仿宋简体" w:cs="方正仿宋简体"/>
                <w:color w:val="000000"/>
                <w:sz w:val="28"/>
                <w:szCs w:val="28"/>
              </w:rPr>
            </w:pPr>
            <w:r>
              <w:rPr>
                <w:rFonts w:hint="eastAsia" w:ascii="宋体" w:hAnsi="宋体" w:eastAsia="方正仿宋简体" w:cs="方正仿宋简体"/>
                <w:color w:val="000000"/>
                <w:sz w:val="28"/>
                <w:szCs w:val="28"/>
              </w:rPr>
              <w:t>5%</w:t>
            </w:r>
          </w:p>
        </w:tc>
      </w:tr>
    </w:tbl>
    <w:p>
      <w:pPr>
        <w:pStyle w:val="2"/>
        <w:spacing w:line="588" w:lineRule="exact"/>
        <w:ind w:firstLine="640" w:firstLineChars="200"/>
        <w:jc w:val="both"/>
        <w:rPr>
          <w:rFonts w:ascii="宋体" w:hAnsi="宋体" w:eastAsia="方正楷体简体" w:cs="方正楷体简体"/>
          <w:color w:val="000000"/>
          <w:sz w:val="32"/>
          <w:szCs w:val="32"/>
          <w:lang w:eastAsia="zh-CN"/>
        </w:rPr>
      </w:pPr>
      <w:r>
        <w:rPr>
          <w:rFonts w:hint="eastAsia" w:ascii="宋体" w:hAnsi="宋体" w:eastAsia="方正楷体简体" w:cs="方正楷体简体"/>
          <w:color w:val="000000"/>
          <w:sz w:val="32"/>
          <w:szCs w:val="32"/>
          <w:lang w:eastAsia="zh-CN"/>
        </w:rPr>
        <w:t>（二）初创组、成长组评分表</w:t>
      </w:r>
    </w:p>
    <w:p>
      <w:pPr>
        <w:rPr>
          <w:lang w:eastAsia="zh-CN"/>
        </w:rPr>
      </w:pPr>
    </w:p>
    <w:tbl>
      <w:tblPr>
        <w:tblStyle w:val="12"/>
        <w:tblW w:w="9019"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4"/>
        <w:gridCol w:w="5614"/>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2104" w:type="dxa"/>
            <w:vAlign w:val="center"/>
          </w:tcPr>
          <w:p>
            <w:pPr>
              <w:jc w:val="center"/>
              <w:rPr>
                <w:rFonts w:ascii="宋体" w:hAnsi="宋体" w:eastAsia="黑体" w:cs="黑体"/>
                <w:color w:val="000000"/>
                <w:spacing w:val="6"/>
                <w:sz w:val="28"/>
                <w:szCs w:val="28"/>
              </w:rPr>
            </w:pPr>
            <w:r>
              <w:rPr>
                <w:rFonts w:hint="eastAsia" w:ascii="宋体" w:hAnsi="宋体" w:eastAsia="黑体" w:cs="黑体"/>
                <w:color w:val="000000"/>
                <w:spacing w:val="6"/>
                <w:sz w:val="28"/>
                <w:szCs w:val="28"/>
              </w:rPr>
              <w:t>评分项目</w:t>
            </w:r>
          </w:p>
        </w:tc>
        <w:tc>
          <w:tcPr>
            <w:tcW w:w="5614" w:type="dxa"/>
            <w:vAlign w:val="center"/>
          </w:tcPr>
          <w:p>
            <w:pPr>
              <w:jc w:val="center"/>
              <w:rPr>
                <w:rFonts w:ascii="宋体" w:hAnsi="宋体" w:eastAsia="黑体" w:cs="黑体"/>
                <w:color w:val="000000"/>
                <w:spacing w:val="6"/>
                <w:sz w:val="28"/>
                <w:szCs w:val="28"/>
              </w:rPr>
            </w:pPr>
            <w:r>
              <w:rPr>
                <w:rFonts w:hint="eastAsia" w:ascii="宋体" w:hAnsi="宋体" w:eastAsia="黑体" w:cs="黑体"/>
                <w:color w:val="000000"/>
                <w:spacing w:val="6"/>
                <w:sz w:val="28"/>
                <w:szCs w:val="28"/>
              </w:rPr>
              <w:t>主要考察指标</w:t>
            </w:r>
          </w:p>
        </w:tc>
        <w:tc>
          <w:tcPr>
            <w:tcW w:w="1301" w:type="dxa"/>
            <w:vAlign w:val="center"/>
          </w:tcPr>
          <w:p>
            <w:pPr>
              <w:jc w:val="center"/>
              <w:rPr>
                <w:rFonts w:ascii="宋体" w:hAnsi="宋体" w:eastAsia="黑体" w:cs="黑体"/>
                <w:color w:val="000000"/>
                <w:spacing w:val="6"/>
                <w:sz w:val="28"/>
                <w:szCs w:val="28"/>
              </w:rPr>
            </w:pPr>
            <w:r>
              <w:rPr>
                <w:rFonts w:hint="eastAsia" w:ascii="宋体" w:hAnsi="宋体" w:eastAsia="黑体" w:cs="黑体"/>
                <w:color w:val="000000"/>
                <w:spacing w:val="6"/>
                <w:sz w:val="28"/>
                <w:szCs w:val="28"/>
              </w:rPr>
              <w:t>评分比重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2104"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产品服务</w:t>
            </w:r>
          </w:p>
        </w:tc>
        <w:tc>
          <w:tcPr>
            <w:tcW w:w="5614" w:type="dxa"/>
            <w:vAlign w:val="center"/>
          </w:tcPr>
          <w:p>
            <w:pPr>
              <w:rPr>
                <w:rFonts w:ascii="宋体" w:hAnsi="宋体" w:eastAsia="方正仿宋简体" w:cs="方正仿宋简体"/>
                <w:color w:val="000000"/>
                <w:spacing w:val="6"/>
                <w:sz w:val="28"/>
                <w:szCs w:val="28"/>
                <w:lang w:eastAsia="zh-CN"/>
              </w:rPr>
            </w:pPr>
            <w:r>
              <w:rPr>
                <w:rFonts w:hint="eastAsia" w:ascii="宋体" w:hAnsi="宋体" w:eastAsia="方正仿宋简体" w:cs="方正仿宋简体"/>
                <w:color w:val="000000"/>
                <w:spacing w:val="6"/>
                <w:sz w:val="28"/>
                <w:szCs w:val="28"/>
                <w:lang w:eastAsia="zh-CN"/>
              </w:rPr>
              <w:t>项目定位、产品功能、目标用户、商业模式等准确性、可行性、创新性。</w:t>
            </w:r>
          </w:p>
        </w:tc>
        <w:tc>
          <w:tcPr>
            <w:tcW w:w="1301"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2104"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市场前景</w:t>
            </w:r>
          </w:p>
        </w:tc>
        <w:tc>
          <w:tcPr>
            <w:tcW w:w="5614" w:type="dxa"/>
            <w:vAlign w:val="center"/>
          </w:tcPr>
          <w:p>
            <w:pPr>
              <w:rPr>
                <w:rFonts w:ascii="宋体" w:hAnsi="宋体" w:eastAsia="方正仿宋简体" w:cs="方正仿宋简体"/>
                <w:color w:val="000000"/>
                <w:spacing w:val="6"/>
                <w:sz w:val="28"/>
                <w:szCs w:val="28"/>
                <w:lang w:eastAsia="zh-CN"/>
              </w:rPr>
            </w:pPr>
            <w:r>
              <w:rPr>
                <w:rFonts w:hint="eastAsia" w:ascii="宋体" w:hAnsi="宋体" w:eastAsia="方正仿宋简体" w:cs="方正仿宋简体"/>
                <w:color w:val="000000"/>
                <w:spacing w:val="6"/>
                <w:sz w:val="28"/>
                <w:szCs w:val="28"/>
                <w:lang w:eastAsia="zh-CN"/>
              </w:rPr>
              <w:t>产业背景、市场需求、竞争策略、发展前景等前瞻性、成长性、发展性。</w:t>
            </w:r>
          </w:p>
        </w:tc>
        <w:tc>
          <w:tcPr>
            <w:tcW w:w="1301"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2104"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财务运营</w:t>
            </w:r>
          </w:p>
        </w:tc>
        <w:tc>
          <w:tcPr>
            <w:tcW w:w="5614" w:type="dxa"/>
            <w:vAlign w:val="center"/>
          </w:tcPr>
          <w:p>
            <w:pPr>
              <w:rPr>
                <w:rFonts w:ascii="宋体" w:hAnsi="宋体" w:eastAsia="方正仿宋简体" w:cs="方正仿宋简体"/>
                <w:color w:val="000000"/>
                <w:spacing w:val="6"/>
                <w:sz w:val="28"/>
                <w:szCs w:val="28"/>
                <w:lang w:eastAsia="zh-CN"/>
              </w:rPr>
            </w:pPr>
            <w:r>
              <w:rPr>
                <w:rFonts w:hint="eastAsia" w:ascii="宋体" w:hAnsi="宋体" w:eastAsia="方正仿宋简体" w:cs="方正仿宋简体"/>
                <w:color w:val="000000"/>
                <w:spacing w:val="6"/>
                <w:sz w:val="28"/>
                <w:szCs w:val="28"/>
                <w:lang w:eastAsia="zh-CN"/>
              </w:rPr>
              <w:t>融资情况、盈利模式、财务管理、风险规避等稳定性、合理性、持续性。</w:t>
            </w:r>
          </w:p>
        </w:tc>
        <w:tc>
          <w:tcPr>
            <w:tcW w:w="1301"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2104"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团队素质</w:t>
            </w:r>
          </w:p>
        </w:tc>
        <w:tc>
          <w:tcPr>
            <w:tcW w:w="5614" w:type="dxa"/>
            <w:vAlign w:val="center"/>
          </w:tcPr>
          <w:p>
            <w:pPr>
              <w:rPr>
                <w:rFonts w:ascii="宋体" w:hAnsi="宋体" w:eastAsia="方正仿宋简体" w:cs="方正仿宋简体"/>
                <w:color w:val="000000"/>
                <w:spacing w:val="6"/>
                <w:sz w:val="28"/>
                <w:szCs w:val="28"/>
                <w:lang w:eastAsia="zh-CN"/>
              </w:rPr>
            </w:pPr>
            <w:r>
              <w:rPr>
                <w:rFonts w:hint="eastAsia" w:ascii="宋体" w:hAnsi="宋体" w:eastAsia="方正仿宋简体" w:cs="方正仿宋简体"/>
                <w:color w:val="000000"/>
                <w:spacing w:val="6"/>
                <w:sz w:val="28"/>
                <w:szCs w:val="28"/>
                <w:lang w:eastAsia="zh-CN"/>
              </w:rPr>
              <w:t>人员构成、资历背景、能力素质、团队合作等完整性、互补性、协同性。</w:t>
            </w:r>
          </w:p>
        </w:tc>
        <w:tc>
          <w:tcPr>
            <w:tcW w:w="1301"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2104"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社会效益</w:t>
            </w:r>
          </w:p>
        </w:tc>
        <w:tc>
          <w:tcPr>
            <w:tcW w:w="5614" w:type="dxa"/>
            <w:vAlign w:val="center"/>
          </w:tcPr>
          <w:p>
            <w:pPr>
              <w:rPr>
                <w:rFonts w:ascii="宋体" w:hAnsi="宋体" w:eastAsia="方正仿宋简体" w:cs="方正仿宋简体"/>
                <w:color w:val="000000"/>
                <w:spacing w:val="6"/>
                <w:sz w:val="28"/>
                <w:szCs w:val="28"/>
                <w:lang w:eastAsia="zh-CN"/>
              </w:rPr>
            </w:pPr>
            <w:r>
              <w:rPr>
                <w:rFonts w:hint="eastAsia" w:ascii="宋体" w:hAnsi="宋体" w:eastAsia="方正仿宋简体" w:cs="方正仿宋简体"/>
                <w:color w:val="000000"/>
                <w:spacing w:val="6"/>
                <w:sz w:val="28"/>
                <w:szCs w:val="28"/>
                <w:lang w:eastAsia="zh-CN"/>
              </w:rPr>
              <w:t>创业带动就业、服务群众脱贫致富、支持社会公益等，针对性、公益性、导向性。</w:t>
            </w:r>
          </w:p>
        </w:tc>
        <w:tc>
          <w:tcPr>
            <w:tcW w:w="1301" w:type="dxa"/>
            <w:vAlign w:val="center"/>
          </w:tcPr>
          <w:p>
            <w:pPr>
              <w:jc w:val="center"/>
              <w:rPr>
                <w:rFonts w:ascii="宋体" w:hAnsi="宋体" w:eastAsia="方正仿宋简体" w:cs="方正仿宋简体"/>
                <w:color w:val="000000"/>
                <w:spacing w:val="6"/>
                <w:sz w:val="28"/>
                <w:szCs w:val="28"/>
              </w:rPr>
            </w:pPr>
            <w:r>
              <w:rPr>
                <w:rFonts w:hint="eastAsia" w:ascii="宋体" w:hAnsi="宋体" w:eastAsia="方正仿宋简体" w:cs="方正仿宋简体"/>
                <w:color w:val="000000"/>
                <w:spacing w:val="6"/>
                <w:sz w:val="28"/>
                <w:szCs w:val="28"/>
              </w:rPr>
              <w:t>10%</w:t>
            </w:r>
          </w:p>
        </w:tc>
      </w:tr>
    </w:tbl>
    <w:p>
      <w:pPr>
        <w:spacing w:line="588" w:lineRule="exact"/>
        <w:ind w:firstLine="664" w:firstLineChars="200"/>
        <w:rPr>
          <w:rFonts w:ascii="宋体" w:hAnsi="宋体" w:eastAsia="黑体" w:cs="黑体"/>
          <w:color w:val="000000"/>
          <w:sz w:val="32"/>
          <w:szCs w:val="32"/>
        </w:rPr>
      </w:pPr>
      <w:r>
        <w:rPr>
          <w:rFonts w:ascii="宋体" w:hAnsi="宋体" w:eastAsia="黑体" w:cs="黑体"/>
          <w:color w:val="000000"/>
          <w:spacing w:val="6"/>
          <w:sz w:val="32"/>
          <w:szCs w:val="32"/>
        </w:rPr>
        <w:t>三、注意事项</w:t>
      </w:r>
    </w:p>
    <w:p>
      <w:pPr>
        <w:pStyle w:val="2"/>
        <w:spacing w:line="588" w:lineRule="exact"/>
        <w:ind w:firstLine="640" w:firstLineChars="200"/>
        <w:jc w:val="both"/>
        <w:rPr>
          <w:rFonts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（一）比赛期间，遵守比赛秩序，服从大赛组织方的安排，严格按照分组参加比赛。</w:t>
      </w:r>
    </w:p>
    <w:p>
      <w:pPr>
        <w:pStyle w:val="2"/>
        <w:spacing w:line="588" w:lineRule="exact"/>
        <w:ind w:firstLine="640" w:firstLineChars="200"/>
        <w:jc w:val="both"/>
        <w:rPr>
          <w:rFonts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（二）参赛企业、团队提交的参赛材料须真实完整、合法有效，无虚假和侵犯第三方权益的内容；各区团组织应按照通知要求，对参赛项目和参赛人员进行严格把关。</w:t>
      </w:r>
    </w:p>
    <w:p>
      <w:pPr>
        <w:pStyle w:val="2"/>
        <w:spacing w:line="588" w:lineRule="exact"/>
        <w:ind w:firstLine="640" w:firstLineChars="200"/>
        <w:jc w:val="both"/>
        <w:rPr>
          <w:color w:val="000000"/>
          <w:lang w:eastAsia="zh-CN"/>
        </w:rPr>
      </w:pPr>
      <w:r>
        <w:rPr>
          <w:rFonts w:hint="eastAsia" w:ascii="宋体" w:hAnsi="宋体" w:eastAsia="方正仿宋简体" w:cs="方正仿宋简体"/>
          <w:color w:val="000000"/>
          <w:sz w:val="32"/>
          <w:szCs w:val="32"/>
          <w:lang w:eastAsia="zh-CN"/>
        </w:rPr>
        <w:t>（三）参赛企业、团队可将产品进行演示，以取得最佳参赛效果。</w:t>
      </w:r>
    </w:p>
    <w:sectPr>
      <w:headerReference r:id="rId3" w:type="default"/>
      <w:footerReference r:id="rId4" w:type="default"/>
      <w:pgSz w:w="11906" w:h="16839"/>
      <w:pgMar w:top="2041" w:right="1559" w:bottom="1701" w:left="1559" w:header="0" w:footer="112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F57D69-C9FE-454F-AD19-E08B5F9A1B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embedRegular r:id="rId2" w:fontKey="{05DB7C6A-B7A7-4EAF-B1B8-7520C0DE4259}"/>
  </w:font>
  <w:font w:name="方正小标宋简体">
    <w:altName w:val="方正舒体"/>
    <w:panose1 w:val="02000000000000000000"/>
    <w:charset w:val="86"/>
    <w:family w:val="auto"/>
    <w:pitch w:val="default"/>
    <w:sig w:usb0="00000000" w:usb1="00000000" w:usb2="00000012" w:usb3="00000000" w:csb0="00040001" w:csb1="00000000"/>
    <w:embedRegular r:id="rId3" w:fontKey="{ED9F4701-D8B7-4869-AF59-53E90B19DF4E}"/>
  </w:font>
  <w:font w:name="方正楷体简体">
    <w:altName w:val="宋体"/>
    <w:panose1 w:val="03000509000000000000"/>
    <w:charset w:val="86"/>
    <w:family w:val="auto"/>
    <w:pitch w:val="default"/>
    <w:sig w:usb0="00000000" w:usb1="00000000" w:usb2="00000000" w:usb3="00000000" w:csb0="00040000" w:csb1="00000000"/>
    <w:embedRegular r:id="rId4" w:fontKey="{405BF0E3-4DED-4746-8EAC-9033EAB8447D}"/>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rect>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mU5MzJjOWRmYmIyNmQ1YzEwNDdiNzMzZWNkMWQifQ=="/>
  </w:docVars>
  <w:rsids>
    <w:rsidRoot w:val="00000000"/>
    <w:rsid w:val="766A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208" w:line="228" w:lineRule="auto"/>
      <w:outlineLvl w:val="0"/>
    </w:pPr>
    <w:rPr>
      <w:rFonts w:ascii="Calibri" w:hAnsi="Calibri" w:eastAsia="黑体"/>
      <w:b/>
      <w:bCs/>
      <w:kern w:val="44"/>
      <w:sz w:val="31"/>
      <w:szCs w:val="44"/>
    </w:rPr>
  </w:style>
  <w:style w:type="paragraph" w:styleId="4">
    <w:name w:val="heading 5"/>
    <w:basedOn w:val="1"/>
    <w:next w:val="1"/>
    <w:qFormat/>
    <w:uiPriority w:val="9"/>
    <w:pPr>
      <w:keepNext/>
      <w:keepLines/>
      <w:spacing w:before="280" w:after="290" w:line="376" w:lineRule="auto"/>
      <w:outlineLvl w:val="4"/>
    </w:pPr>
    <w:rPr>
      <w:b/>
      <w:bCs/>
      <w:sz w:val="28"/>
      <w:szCs w:val="28"/>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 w:hAnsi="仿宋" w:eastAsia="仿宋" w:cs="仿宋"/>
      <w:sz w:val="31"/>
      <w:szCs w:val="31"/>
    </w:rPr>
  </w:style>
  <w:style w:type="paragraph" w:styleId="5">
    <w:name w:val="footer"/>
    <w:basedOn w:val="1"/>
    <w:qFormat/>
    <w:uiPriority w:val="99"/>
    <w:pPr>
      <w:tabs>
        <w:tab w:val="center" w:pos="4153"/>
        <w:tab w:val="right" w:pos="8306"/>
      </w:tabs>
    </w:pPr>
    <w:rPr>
      <w:rFonts w:ascii="Times New Roman" w:hAnsi="Times New Roman"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Table Text"/>
    <w:basedOn w:val="1"/>
    <w:qFormat/>
    <w:uiPriority w:val="0"/>
    <w:rPr>
      <w:rFonts w:ascii="仿宋" w:hAnsi="仿宋" w:eastAsia="仿宋" w:cs="仿宋"/>
      <w:sz w:val="24"/>
      <w:szCs w:val="24"/>
    </w:rPr>
  </w:style>
  <w:style w:type="paragraph" w:customStyle="1" w:styleId="14">
    <w:name w:val="Table Paragraph"/>
    <w:basedOn w:val="1"/>
    <w:qFormat/>
    <w:uiPriority w:val="1"/>
    <w:pPr>
      <w:spacing w:before="132"/>
      <w:jc w:val="center"/>
    </w:pPr>
    <w:rPr>
      <w:rFonts w:ascii="宋体" w:hAnsi="宋体" w:eastAsia="宋体" w:cs="宋体"/>
      <w:sz w:val="22"/>
      <w:lang w:val="zh-CN" w:bidi="zh-CN"/>
    </w:rPr>
  </w:style>
  <w:style w:type="paragraph" w:customStyle="1" w:styleId="15">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16">
    <w:name w:val="未处理的提及1"/>
    <w:basedOn w:val="9"/>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3900</Words>
  <Characters>4093</Characters>
  <Paragraphs>167</Paragraphs>
  <TotalTime>20</TotalTime>
  <ScaleCrop>false</ScaleCrop>
  <LinksUpToDate>false</LinksUpToDate>
  <CharactersWithSpaces>4099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2024-07-04T03:04:00Z</dcterms:created>
  <dc:creator>Administrator</dc:creator>
  <cp:lastModifiedBy>李沐霖</cp:lastModifiedBy>
  <cp:lastPrinted>2024-07-05T02:57:00Z</cp:lastPrinted>
  <dcterms:modified xsi:type="dcterms:W3CDTF">2024-07-05T01:49:02Z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2023-04-21T18:41:57Z</vt:filetime>
  </property>
  <property fmtid="{D5CDD505-2E9C-101B-9397-08002B2CF9AE}" pid="4" name="KSOProductBuildVer">
    <vt:lpwstr>2052-12.1.0.16929</vt:lpwstr>
  </property>
  <property fmtid="{D5CDD505-2E9C-101B-9397-08002B2CF9AE}" pid="5" name="ICV">
    <vt:lpwstr>5083C6A8E1E84BE5A63A5FDEA9E14CF4_13</vt:lpwstr>
  </property>
</Properties>
</file>